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7A6EC0" w14:textId="77777777" w:rsidR="00893205" w:rsidRDefault="00BA2EFD">
      <w:pPr>
        <w:pStyle w:val="Header"/>
        <w:tabs>
          <w:tab w:val="clear" w:pos="4536"/>
        </w:tabs>
        <w:rPr>
          <w:rFonts w:eastAsia="宋体"/>
          <w:sz w:val="22"/>
          <w:szCs w:val="22"/>
          <w:lang w:eastAsia="zh-CN"/>
        </w:rPr>
      </w:pPr>
      <w:r>
        <w:rPr>
          <w:sz w:val="22"/>
          <w:szCs w:val="22"/>
        </w:rPr>
        <w:t>3GPP TSG RAN WG1</w:t>
      </w:r>
      <w:r>
        <w:rPr>
          <w:rFonts w:eastAsia="宋体" w:hint="eastAsia"/>
          <w:sz w:val="22"/>
          <w:szCs w:val="22"/>
          <w:lang w:eastAsia="zh-CN"/>
        </w:rPr>
        <w:t xml:space="preserve"> Meeting #90</w:t>
      </w:r>
      <w:r>
        <w:rPr>
          <w:rFonts w:hint="eastAsia"/>
          <w:sz w:val="22"/>
          <w:szCs w:val="22"/>
        </w:rPr>
        <w:tab/>
      </w:r>
      <w:r>
        <w:rPr>
          <w:sz w:val="22"/>
          <w:szCs w:val="22"/>
        </w:rPr>
        <w:t>R1-1712313</w:t>
      </w:r>
    </w:p>
    <w:p w14:paraId="26F79B6F" w14:textId="77777777" w:rsidR="00893205" w:rsidRDefault="00BA2EFD">
      <w:pPr>
        <w:pStyle w:val="Header"/>
        <w:tabs>
          <w:tab w:val="clear" w:pos="4536"/>
        </w:tabs>
        <w:spacing w:after="240"/>
        <w:rPr>
          <w:rFonts w:eastAsia="宋体"/>
          <w:sz w:val="22"/>
          <w:szCs w:val="22"/>
          <w:lang w:eastAsia="zh-CN"/>
        </w:rPr>
      </w:pPr>
      <w:r>
        <w:rPr>
          <w:rFonts w:eastAsia="宋体" w:hint="eastAsia"/>
          <w:sz w:val="22"/>
          <w:szCs w:val="22"/>
          <w:lang w:eastAsia="zh-CN"/>
        </w:rPr>
        <w:t>Prague</w:t>
      </w:r>
      <w:r>
        <w:rPr>
          <w:rFonts w:eastAsia="宋体"/>
          <w:sz w:val="22"/>
          <w:szCs w:val="22"/>
          <w:lang w:eastAsia="zh-CN"/>
        </w:rPr>
        <w:t xml:space="preserve">, </w:t>
      </w:r>
      <w:r>
        <w:rPr>
          <w:rFonts w:eastAsia="宋体"/>
          <w:sz w:val="22"/>
          <w:szCs w:val="22"/>
          <w:lang w:eastAsia="zh-CN"/>
        </w:rPr>
        <w:t>Czechia</w:t>
      </w:r>
      <w:r>
        <w:rPr>
          <w:rFonts w:eastAsia="宋体"/>
          <w:sz w:val="22"/>
          <w:szCs w:val="22"/>
          <w:lang w:eastAsia="zh-CN"/>
        </w:rPr>
        <w:t xml:space="preserve">, </w:t>
      </w:r>
      <w:r>
        <w:rPr>
          <w:rFonts w:eastAsia="宋体" w:hint="eastAsia"/>
          <w:sz w:val="22"/>
          <w:szCs w:val="22"/>
          <w:lang w:eastAsia="zh-CN"/>
        </w:rPr>
        <w:t>21st</w:t>
      </w:r>
      <w:r>
        <w:rPr>
          <w:rFonts w:hint="eastAsia"/>
          <w:sz w:val="22"/>
          <w:szCs w:val="22"/>
        </w:rPr>
        <w:t xml:space="preserve"> </w:t>
      </w:r>
      <w:r>
        <w:rPr>
          <w:sz w:val="22"/>
          <w:szCs w:val="22"/>
        </w:rPr>
        <w:t xml:space="preserve">- </w:t>
      </w:r>
      <w:r>
        <w:rPr>
          <w:rFonts w:eastAsia="宋体" w:hint="eastAsia"/>
          <w:sz w:val="22"/>
          <w:szCs w:val="22"/>
          <w:lang w:eastAsia="zh-CN"/>
        </w:rPr>
        <w:t>25th</w:t>
      </w:r>
      <w:r>
        <w:rPr>
          <w:rFonts w:hint="eastAsia"/>
          <w:sz w:val="22"/>
          <w:szCs w:val="22"/>
        </w:rPr>
        <w:t xml:space="preserve"> </w:t>
      </w:r>
      <w:r>
        <w:rPr>
          <w:rFonts w:eastAsia="宋体" w:hint="eastAsia"/>
          <w:sz w:val="22"/>
          <w:szCs w:val="22"/>
          <w:lang w:eastAsia="zh-CN"/>
        </w:rPr>
        <w:t>August</w:t>
      </w:r>
      <w:r>
        <w:rPr>
          <w:sz w:val="22"/>
          <w:szCs w:val="22"/>
        </w:rPr>
        <w:t xml:space="preserve"> 201</w:t>
      </w:r>
      <w:r>
        <w:rPr>
          <w:rFonts w:eastAsia="宋体" w:hint="eastAsia"/>
          <w:sz w:val="22"/>
          <w:szCs w:val="22"/>
          <w:lang w:eastAsia="zh-CN"/>
        </w:rPr>
        <w:t>7</w:t>
      </w:r>
    </w:p>
    <w:p w14:paraId="0412C972" w14:textId="77777777" w:rsidR="00893205" w:rsidRDefault="00BA2EFD">
      <w:pPr>
        <w:widowControl w:val="0"/>
        <w:snapToGrid w:val="0"/>
        <w:rPr>
          <w:rFonts w:ascii="Arial" w:eastAsia="宋体" w:hAnsi="Arial"/>
          <w:b/>
        </w:rPr>
      </w:pPr>
      <w:r>
        <w:rPr>
          <w:rFonts w:ascii="Arial" w:eastAsia="Times New Roman" w:hAnsi="Arial"/>
          <w:b/>
          <w:lang w:eastAsia="en-US"/>
        </w:rPr>
        <w:t xml:space="preserve">Source: </w:t>
      </w:r>
      <w:r>
        <w:rPr>
          <w:rFonts w:ascii="Arial" w:eastAsia="宋体" w:hAnsi="Arial" w:hint="eastAsia"/>
          <w:b/>
        </w:rPr>
        <w:t xml:space="preserve">             </w:t>
      </w:r>
      <w:r>
        <w:rPr>
          <w:rFonts w:ascii="Arial" w:eastAsia="Times New Roman" w:hAnsi="Arial"/>
          <w:b/>
          <w:lang w:eastAsia="en-US"/>
        </w:rPr>
        <w:t>ZTE</w:t>
      </w:r>
    </w:p>
    <w:p w14:paraId="5FC6BEE7" w14:textId="77777777" w:rsidR="00893205" w:rsidRDefault="00BA2EFD">
      <w:pPr>
        <w:widowControl w:val="0"/>
        <w:snapToGrid w:val="0"/>
        <w:rPr>
          <w:rFonts w:ascii="Arial" w:eastAsia="宋体" w:hAnsi="Arial"/>
          <w:b/>
        </w:rPr>
      </w:pPr>
      <w:r>
        <w:rPr>
          <w:rFonts w:ascii="Arial" w:eastAsia="Times New Roman" w:hAnsi="Arial"/>
          <w:b/>
          <w:lang w:eastAsia="en-US"/>
        </w:rPr>
        <w:t>Title:</w:t>
      </w:r>
      <w:r>
        <w:rPr>
          <w:rFonts w:ascii="Arial" w:eastAsia="宋体" w:hAnsi="Arial" w:hint="eastAsia"/>
          <w:b/>
        </w:rPr>
        <w:t xml:space="preserve">                   On NR PHR</w:t>
      </w:r>
      <w:r>
        <w:rPr>
          <w:rFonts w:ascii="Arial" w:eastAsia="宋体" w:hAnsi="Arial"/>
          <w:b/>
        </w:rPr>
        <w:t xml:space="preserve"> </w:t>
      </w:r>
      <w:r>
        <w:rPr>
          <w:rFonts w:ascii="Arial" w:eastAsia="宋体" w:hAnsi="Arial" w:hint="eastAsia"/>
          <w:b/>
        </w:rPr>
        <w:t>cal</w:t>
      </w:r>
      <w:bookmarkStart w:id="0" w:name="_GoBack"/>
      <w:bookmarkEnd w:id="0"/>
      <w:r>
        <w:rPr>
          <w:rFonts w:ascii="Arial" w:eastAsia="宋体" w:hAnsi="Arial" w:hint="eastAsia"/>
          <w:b/>
        </w:rPr>
        <w:t>culation</w:t>
      </w:r>
    </w:p>
    <w:p w14:paraId="66968F5D" w14:textId="77777777" w:rsidR="00893205" w:rsidRDefault="00BA2EFD">
      <w:pPr>
        <w:widowControl w:val="0"/>
        <w:snapToGrid w:val="0"/>
        <w:rPr>
          <w:rFonts w:ascii="Arial" w:eastAsia="宋体" w:hAnsi="Arial"/>
          <w:b/>
        </w:rPr>
      </w:pPr>
      <w:r>
        <w:rPr>
          <w:rFonts w:ascii="Arial" w:eastAsia="Times New Roman" w:hAnsi="Arial"/>
          <w:b/>
          <w:lang w:eastAsia="en-US"/>
        </w:rPr>
        <w:t>Agenda Item:</w:t>
      </w:r>
      <w:bookmarkStart w:id="1" w:name="Source"/>
      <w:bookmarkEnd w:id="1"/>
      <w:r>
        <w:rPr>
          <w:rFonts w:ascii="Arial" w:eastAsia="宋体" w:hAnsi="Arial" w:hint="eastAsia"/>
          <w:b/>
        </w:rPr>
        <w:t xml:space="preserve">     6.1.7.2</w:t>
      </w:r>
    </w:p>
    <w:p w14:paraId="3906CEC2" w14:textId="77777777" w:rsidR="00893205" w:rsidRDefault="00BA2EFD">
      <w:pPr>
        <w:widowControl w:val="0"/>
        <w:snapToGrid w:val="0"/>
        <w:rPr>
          <w:rFonts w:ascii="Arial" w:eastAsia="Times New Roman" w:hAnsi="Arial"/>
          <w:b/>
          <w:lang w:eastAsia="en-US"/>
        </w:rPr>
      </w:pPr>
      <w:r>
        <w:rPr>
          <w:rFonts w:ascii="Arial" w:eastAsia="Times New Roman" w:hAnsi="Arial"/>
          <w:b/>
          <w:lang w:eastAsia="en-US"/>
        </w:rPr>
        <w:t>Document for:</w:t>
      </w:r>
      <w:bookmarkStart w:id="2" w:name="DocumentFor"/>
      <w:bookmarkEnd w:id="2"/>
      <w:r>
        <w:rPr>
          <w:rFonts w:ascii="Arial" w:eastAsia="宋体" w:hAnsi="Arial" w:hint="eastAsia"/>
          <w:b/>
        </w:rPr>
        <w:t xml:space="preserve">   </w:t>
      </w:r>
      <w:r>
        <w:rPr>
          <w:rFonts w:ascii="Arial" w:eastAsia="Times New Roman" w:hAnsi="Arial"/>
          <w:b/>
          <w:lang w:eastAsia="en-US"/>
        </w:rPr>
        <w:t>Discussion and Decision</w:t>
      </w:r>
    </w:p>
    <w:p w14:paraId="5536B880" w14:textId="77777777" w:rsidR="00893205" w:rsidRDefault="00893205">
      <w:pPr>
        <w:pBdr>
          <w:bottom w:val="single" w:sz="4" w:space="1" w:color="auto"/>
        </w:pBdr>
        <w:tabs>
          <w:tab w:val="left" w:pos="2552"/>
        </w:tabs>
        <w:snapToGrid w:val="0"/>
        <w:rPr>
          <w:rFonts w:ascii="Times New Roman" w:eastAsia="Times New Roman" w:hAnsi="Times New Roman"/>
          <w:sz w:val="4"/>
          <w:szCs w:val="4"/>
          <w:lang w:eastAsia="en-US"/>
        </w:rPr>
      </w:pPr>
    </w:p>
    <w:p w14:paraId="2F50E00A" w14:textId="77777777" w:rsidR="00893205" w:rsidRDefault="00BA2EFD">
      <w:pPr>
        <w:pStyle w:val="Heading1"/>
        <w:keepNext/>
        <w:tabs>
          <w:tab w:val="left" w:pos="3686"/>
          <w:tab w:val="left" w:pos="4536"/>
        </w:tabs>
        <w:autoSpaceDE/>
        <w:autoSpaceDN/>
        <w:snapToGrid w:val="0"/>
        <w:spacing w:beforeLines="50" w:before="180" w:beforeAutospacing="0" w:afterAutospacing="0" w:line="240" w:lineRule="auto"/>
        <w:textAlignment w:val="baseline"/>
        <w:rPr>
          <w:rFonts w:ascii="Arial Unicode MS" w:eastAsia="Arial Unicode MS" w:hAnsi="Arial Unicode MS" w:cs="Arial Unicode MS"/>
          <w:sz w:val="28"/>
          <w:szCs w:val="28"/>
        </w:rPr>
      </w:pPr>
      <w:r>
        <w:rPr>
          <w:rFonts w:ascii="Arial Unicode MS" w:eastAsia="Arial Unicode MS" w:hAnsi="Arial Unicode MS" w:cs="Arial Unicode MS"/>
          <w:sz w:val="28"/>
          <w:szCs w:val="28"/>
        </w:rPr>
        <w:t>I</w:t>
      </w:r>
      <w:r>
        <w:rPr>
          <w:rFonts w:ascii="Arial Unicode MS" w:eastAsia="Arial Unicode MS" w:hAnsi="Arial Unicode MS" w:cs="Arial Unicode MS" w:hint="eastAsia"/>
          <w:sz w:val="28"/>
          <w:szCs w:val="28"/>
        </w:rPr>
        <w:t>ntroduction</w:t>
      </w:r>
    </w:p>
    <w:p w14:paraId="4CAFBBCB" w14:textId="77777777" w:rsidR="00893205" w:rsidRDefault="00BA2EFD">
      <w:pPr>
        <w:snapToGrid w:val="0"/>
        <w:spacing w:beforeLines="50" w:before="180"/>
        <w:rPr>
          <w:rFonts w:ascii="Times New Roman" w:eastAsia="宋体" w:hAnsi="宋体"/>
          <w:sz w:val="20"/>
          <w:szCs w:val="20"/>
          <w:lang w:val="en-GB"/>
        </w:rPr>
      </w:pPr>
      <w:r>
        <w:rPr>
          <w:rFonts w:ascii="Times New Roman" w:eastAsia="Times New Roman" w:hAnsi="宋体"/>
          <w:sz w:val="20"/>
          <w:szCs w:val="20"/>
          <w:lang w:val="en-GB" w:eastAsia="en-US"/>
        </w:rPr>
        <w:t xml:space="preserve">In </w:t>
      </w:r>
      <w:r>
        <w:rPr>
          <w:rFonts w:ascii="Times New Roman" w:eastAsia="宋体" w:hAnsi="宋体" w:hint="eastAsia"/>
          <w:sz w:val="20"/>
          <w:szCs w:val="20"/>
          <w:lang w:val="en-GB"/>
        </w:rPr>
        <w:t>previous meetings</w:t>
      </w:r>
      <w:r>
        <w:rPr>
          <w:rFonts w:ascii="Times New Roman" w:eastAsia="Times New Roman" w:hAnsi="宋体"/>
          <w:sz w:val="20"/>
          <w:szCs w:val="20"/>
          <w:lang w:val="en-GB" w:eastAsia="en-US"/>
        </w:rPr>
        <w:t xml:space="preserve">, </w:t>
      </w:r>
      <w:r>
        <w:rPr>
          <w:rFonts w:ascii="Times New Roman" w:eastAsia="宋体" w:hAnsi="宋体" w:hint="eastAsia"/>
          <w:sz w:val="20"/>
          <w:szCs w:val="20"/>
          <w:lang w:val="en-GB"/>
        </w:rPr>
        <w:t>the follow</w:t>
      </w:r>
      <w:r>
        <w:rPr>
          <w:rFonts w:ascii="Times New Roman" w:eastAsia="宋体" w:hAnsi="宋体"/>
          <w:sz w:val="20"/>
          <w:szCs w:val="20"/>
          <w:lang w:val="en-GB"/>
        </w:rPr>
        <w:t xml:space="preserve">ing </w:t>
      </w:r>
      <w:r>
        <w:rPr>
          <w:rFonts w:ascii="Times New Roman" w:eastAsia="宋体" w:hAnsi="宋体" w:hint="eastAsia"/>
          <w:sz w:val="20"/>
          <w:szCs w:val="20"/>
          <w:lang w:val="en-GB"/>
        </w:rPr>
        <w:t>agreements</w:t>
      </w:r>
      <w:r>
        <w:rPr>
          <w:rFonts w:ascii="Times New Roman" w:eastAsia="宋体" w:hAnsi="宋体"/>
          <w:sz w:val="20"/>
          <w:szCs w:val="20"/>
          <w:lang w:val="en-GB"/>
        </w:rPr>
        <w:t xml:space="preserve"> </w:t>
      </w:r>
      <w:r>
        <w:rPr>
          <w:rFonts w:ascii="Times New Roman" w:eastAsia="宋体" w:hAnsi="宋体" w:hint="eastAsia"/>
          <w:sz w:val="20"/>
          <w:szCs w:val="20"/>
          <w:lang w:val="en-GB"/>
        </w:rPr>
        <w:t xml:space="preserve">were made </w:t>
      </w:r>
      <w:r>
        <w:rPr>
          <w:rFonts w:ascii="Times New Roman" w:eastAsia="宋体" w:hAnsi="宋体"/>
          <w:sz w:val="20"/>
          <w:szCs w:val="20"/>
          <w:lang w:val="en-GB"/>
        </w:rPr>
        <w:t>on power control</w:t>
      </w:r>
      <w:r>
        <w:rPr>
          <w:rFonts w:ascii="Times New Roman" w:eastAsia="Times New Roman" w:hAnsi="宋体"/>
          <w:sz w:val="20"/>
          <w:szCs w:val="20"/>
          <w:lang w:val="en-GB" w:eastAsia="en-US"/>
        </w:rPr>
        <w:t xml:space="preserve"> for NR UL MIMO</w:t>
      </w:r>
      <w:r>
        <w:rPr>
          <w:rFonts w:ascii="Times New Roman" w:eastAsia="宋体" w:hAnsi="宋体" w:hint="eastAsia"/>
          <w:sz w:val="20"/>
          <w:szCs w:val="20"/>
          <w:lang w:val="en-GB"/>
        </w:rPr>
        <w:t xml:space="preserve"> [</w:t>
      </w:r>
      <w:proofErr w:type="gramStart"/>
      <w:r>
        <w:rPr>
          <w:rFonts w:ascii="Times New Roman" w:eastAsia="宋体" w:hAnsi="宋体" w:hint="eastAsia"/>
          <w:sz w:val="20"/>
          <w:szCs w:val="20"/>
          <w:lang w:val="en-GB"/>
        </w:rPr>
        <w:t>1]</w:t>
      </w:r>
      <w:r>
        <w:rPr>
          <w:rFonts w:ascii="Times New Roman" w:eastAsia="宋体" w:hAnsi="宋体" w:hint="eastAsia"/>
          <w:sz w:val="20"/>
          <w:szCs w:val="20"/>
        </w:rPr>
        <w:t>~</w:t>
      </w:r>
      <w:proofErr w:type="gramEnd"/>
      <w:r>
        <w:rPr>
          <w:rFonts w:ascii="Times New Roman" w:eastAsia="宋体" w:hAnsi="宋体" w:hint="eastAsia"/>
          <w:sz w:val="20"/>
          <w:szCs w:val="20"/>
          <w:lang w:val="en-GB"/>
        </w:rPr>
        <w:t>[</w:t>
      </w:r>
      <w:r>
        <w:rPr>
          <w:rFonts w:ascii="Times New Roman" w:eastAsia="宋体" w:hAnsi="宋体" w:hint="eastAsia"/>
          <w:sz w:val="20"/>
          <w:szCs w:val="20"/>
        </w:rPr>
        <w:t>4</w:t>
      </w:r>
      <w:r>
        <w:rPr>
          <w:rFonts w:ascii="Times New Roman" w:eastAsia="宋体" w:hAnsi="宋体" w:hint="eastAsia"/>
          <w:sz w:val="20"/>
          <w:szCs w:val="20"/>
          <w:lang w:val="en-GB"/>
        </w:rPr>
        <w:t>].</w:t>
      </w:r>
    </w:p>
    <w:p w14:paraId="0CC444A0" w14:textId="77777777" w:rsidR="00893205" w:rsidRDefault="00BA2EFD">
      <w:pPr>
        <w:snapToGrid w:val="0"/>
        <w:spacing w:beforeLines="50" w:before="180"/>
        <w:rPr>
          <w:rFonts w:ascii="Times New Roman" w:eastAsia="Times New Roman" w:hAnsi="宋体"/>
          <w:b/>
          <w:i/>
          <w:sz w:val="20"/>
          <w:szCs w:val="20"/>
          <w:u w:val="single"/>
          <w:lang w:val="en-GB" w:eastAsia="ja-JP"/>
        </w:rPr>
      </w:pPr>
      <w:r>
        <w:rPr>
          <w:rFonts w:ascii="Times New Roman" w:eastAsia="Times New Roman" w:hAnsi="宋体"/>
          <w:b/>
          <w:i/>
          <w:sz w:val="20"/>
          <w:szCs w:val="20"/>
          <w:u w:val="single"/>
          <w:lang w:val="en-GB" w:eastAsia="ja-JP"/>
        </w:rPr>
        <w:t>Agreements:</w:t>
      </w:r>
    </w:p>
    <w:p w14:paraId="6089547D" w14:textId="77777777" w:rsidR="00893205" w:rsidRDefault="00BA2EFD">
      <w:pPr>
        <w:numPr>
          <w:ilvl w:val="0"/>
          <w:numId w:val="2"/>
        </w:numPr>
        <w:snapToGrid w:val="0"/>
        <w:spacing w:before="180" w:after="60"/>
        <w:ind w:hanging="357"/>
        <w:rPr>
          <w:rFonts w:ascii="Times New Roman" w:eastAsia="MS Mincho" w:hAnsi="Times New Roman"/>
          <w:i/>
          <w:sz w:val="20"/>
          <w:szCs w:val="20"/>
          <w:lang w:eastAsia="ja-JP"/>
        </w:rPr>
      </w:pPr>
      <w:r>
        <w:rPr>
          <w:rFonts w:ascii="Times New Roman" w:eastAsia="MS Mincho" w:hAnsi="Times New Roman"/>
          <w:i/>
          <w:sz w:val="20"/>
          <w:szCs w:val="20"/>
          <w:lang w:eastAsia="ja-JP"/>
        </w:rPr>
        <w:t>UE’s power headroom report is based on the corresponding PUSCH transmission(s)</w:t>
      </w:r>
    </w:p>
    <w:p w14:paraId="0F7B1941" w14:textId="77777777" w:rsidR="00893205" w:rsidRDefault="00BA2EFD">
      <w:pPr>
        <w:numPr>
          <w:ilvl w:val="1"/>
          <w:numId w:val="2"/>
        </w:numPr>
        <w:snapToGrid w:val="0"/>
        <w:spacing w:before="180" w:after="60"/>
        <w:ind w:hanging="357"/>
        <w:rPr>
          <w:rFonts w:ascii="Times New Roman" w:eastAsia="MS Mincho" w:hAnsi="Times New Roman"/>
          <w:i/>
          <w:sz w:val="20"/>
          <w:szCs w:val="20"/>
          <w:lang w:eastAsia="ja-JP"/>
        </w:rPr>
      </w:pPr>
      <w:r>
        <w:rPr>
          <w:rFonts w:ascii="Times New Roman" w:eastAsia="MS Mincho" w:hAnsi="Times New Roman"/>
          <w:i/>
          <w:sz w:val="20"/>
          <w:szCs w:val="20"/>
          <w:lang w:eastAsia="ja-JP"/>
        </w:rPr>
        <w:t>FFS details</w:t>
      </w:r>
    </w:p>
    <w:p w14:paraId="00847DED" w14:textId="77777777" w:rsidR="00893205" w:rsidRDefault="00BA2EFD">
      <w:pPr>
        <w:numPr>
          <w:ilvl w:val="0"/>
          <w:numId w:val="2"/>
        </w:numPr>
        <w:snapToGrid w:val="0"/>
        <w:spacing w:before="180" w:after="60"/>
        <w:ind w:hanging="357"/>
        <w:rPr>
          <w:rFonts w:ascii="Times New Roman" w:eastAsia="MS Mincho" w:hAnsi="Times New Roman"/>
          <w:i/>
          <w:sz w:val="20"/>
          <w:szCs w:val="20"/>
          <w:lang w:eastAsia="ja-JP"/>
        </w:rPr>
      </w:pPr>
      <w:r>
        <w:rPr>
          <w:rFonts w:ascii="Times New Roman" w:eastAsia="MS Mincho" w:hAnsi="Times New Roman"/>
          <w:i/>
          <w:sz w:val="20"/>
          <w:szCs w:val="20"/>
          <w:lang w:eastAsia="ja-JP"/>
        </w:rPr>
        <w:t>NR supports beam specific power control as baseline. Power control for UE sid</w:t>
      </w:r>
      <w:r>
        <w:rPr>
          <w:rFonts w:ascii="Times New Roman" w:eastAsia="MS Mincho" w:hAnsi="Times New Roman"/>
          <w:i/>
          <w:sz w:val="20"/>
          <w:szCs w:val="20"/>
          <w:lang w:eastAsia="ja-JP"/>
        </w:rPr>
        <w:t>e multiple panel transmission is</w:t>
      </w:r>
      <w:r>
        <w:rPr>
          <w:rFonts w:ascii="Times New Roman" w:hAnsi="宋体"/>
          <w:sz w:val="20"/>
          <w:szCs w:val="20"/>
        </w:rPr>
        <w:t xml:space="preserve"> supported.</w:t>
      </w:r>
    </w:p>
    <w:p w14:paraId="75DFA01F" w14:textId="77777777" w:rsidR="00893205" w:rsidRDefault="00BA2EFD">
      <w:pPr>
        <w:numPr>
          <w:ilvl w:val="0"/>
          <w:numId w:val="2"/>
        </w:numPr>
        <w:snapToGrid w:val="0"/>
        <w:spacing w:before="180" w:after="60"/>
        <w:ind w:hanging="357"/>
        <w:rPr>
          <w:rFonts w:ascii="Times New Roman" w:eastAsia="MS Mincho" w:hAnsi="Times New Roman"/>
          <w:i/>
          <w:sz w:val="20"/>
          <w:szCs w:val="20"/>
          <w:lang w:eastAsia="ja-JP"/>
        </w:rPr>
      </w:pPr>
      <w:r>
        <w:rPr>
          <w:rFonts w:ascii="Times New Roman" w:eastAsia="MS Mincho" w:hAnsi="Times New Roman"/>
          <w:i/>
          <w:sz w:val="20"/>
          <w:szCs w:val="20"/>
          <w:lang w:eastAsia="ja-JP"/>
        </w:rPr>
        <w:t>Support beam specific pathloss for ULPC</w:t>
      </w:r>
    </w:p>
    <w:p w14:paraId="1F0EB9DB" w14:textId="77777777" w:rsidR="00893205" w:rsidRDefault="00BA2EFD">
      <w:pPr>
        <w:numPr>
          <w:ilvl w:val="0"/>
          <w:numId w:val="2"/>
        </w:numPr>
        <w:snapToGrid w:val="0"/>
        <w:spacing w:before="180" w:after="60"/>
        <w:ind w:hanging="357"/>
        <w:rPr>
          <w:rFonts w:ascii="Times New Roman" w:eastAsia="MS Mincho" w:hAnsi="Times New Roman"/>
          <w:i/>
          <w:sz w:val="20"/>
          <w:szCs w:val="20"/>
          <w:lang w:eastAsia="ja-JP"/>
        </w:rPr>
      </w:pPr>
      <w:r>
        <w:rPr>
          <w:rFonts w:ascii="Times New Roman" w:eastAsia="MS Mincho" w:hAnsi="Times New Roman"/>
          <w:i/>
          <w:sz w:val="20"/>
          <w:szCs w:val="20"/>
          <w:lang w:eastAsia="ja-JP"/>
        </w:rPr>
        <w:t xml:space="preserve">For beam specific power control, NR defines beam specific open &amp; closed loop parameters. </w:t>
      </w:r>
    </w:p>
    <w:p w14:paraId="12FCB77D" w14:textId="77777777" w:rsidR="00893205" w:rsidRDefault="00BA2EFD">
      <w:pPr>
        <w:numPr>
          <w:ilvl w:val="1"/>
          <w:numId w:val="2"/>
        </w:numPr>
        <w:snapToGrid w:val="0"/>
        <w:spacing w:before="180" w:after="60"/>
        <w:ind w:hanging="357"/>
        <w:rPr>
          <w:rFonts w:ascii="Times New Roman" w:eastAsia="MS Mincho" w:hAnsi="Times New Roman"/>
          <w:i/>
          <w:sz w:val="20"/>
          <w:szCs w:val="20"/>
          <w:lang w:eastAsia="ja-JP"/>
        </w:rPr>
      </w:pPr>
      <w:r>
        <w:rPr>
          <w:rFonts w:ascii="Times New Roman" w:eastAsia="MS Mincho" w:hAnsi="Times New Roman"/>
          <w:i/>
          <w:sz w:val="20"/>
          <w:szCs w:val="20"/>
          <w:lang w:eastAsia="ja-JP"/>
        </w:rPr>
        <w:t>FFS: details on beam common parameter(s)</w:t>
      </w:r>
    </w:p>
    <w:p w14:paraId="04180158" w14:textId="77777777" w:rsidR="00893205" w:rsidRDefault="00BA2EFD">
      <w:pPr>
        <w:numPr>
          <w:ilvl w:val="1"/>
          <w:numId w:val="2"/>
        </w:numPr>
        <w:snapToGrid w:val="0"/>
        <w:spacing w:before="180" w:after="60"/>
        <w:ind w:hanging="357"/>
        <w:rPr>
          <w:rFonts w:ascii="Times New Roman" w:eastAsia="MS Mincho" w:hAnsi="Times New Roman"/>
          <w:i/>
          <w:sz w:val="20"/>
          <w:szCs w:val="20"/>
          <w:lang w:eastAsia="ja-JP"/>
        </w:rPr>
      </w:pPr>
      <w:r>
        <w:rPr>
          <w:rFonts w:ascii="Times New Roman" w:eastAsia="MS Mincho" w:hAnsi="Times New Roman"/>
          <w:i/>
          <w:sz w:val="20"/>
          <w:szCs w:val="20"/>
          <w:lang w:eastAsia="ja-JP"/>
        </w:rPr>
        <w:t xml:space="preserve">Note: Agreed on RAN1 #88 FFS details on </w:t>
      </w:r>
      <w:r>
        <w:rPr>
          <w:rFonts w:ascii="Times New Roman" w:eastAsia="MS Mincho" w:hAnsi="Times New Roman"/>
          <w:i/>
          <w:sz w:val="20"/>
          <w:szCs w:val="20"/>
          <w:lang w:eastAsia="ja-JP"/>
        </w:rPr>
        <w:t>“beam specific”, especially regarding handling layer/layer-group/panel specific/beam group specific/beam pair link specific power control</w:t>
      </w:r>
    </w:p>
    <w:p w14:paraId="27F832A9" w14:textId="77777777" w:rsidR="00893205" w:rsidRDefault="00BA2EFD">
      <w:pPr>
        <w:numPr>
          <w:ilvl w:val="0"/>
          <w:numId w:val="2"/>
        </w:numPr>
        <w:snapToGrid w:val="0"/>
        <w:spacing w:before="180" w:after="60"/>
        <w:ind w:hanging="357"/>
        <w:rPr>
          <w:rFonts w:ascii="Times New Roman" w:eastAsia="MS Mincho" w:hAnsi="Times New Roman"/>
          <w:i/>
          <w:sz w:val="20"/>
          <w:szCs w:val="20"/>
          <w:lang w:eastAsia="ja-JP"/>
        </w:rPr>
      </w:pPr>
      <w:r>
        <w:rPr>
          <w:rFonts w:ascii="Times New Roman" w:eastAsia="MS Mincho" w:hAnsi="Times New Roman"/>
          <w:i/>
          <w:sz w:val="20"/>
          <w:szCs w:val="20"/>
          <w:lang w:eastAsia="ja-JP"/>
        </w:rPr>
        <w:t xml:space="preserve">gNB is aware of the power headroom differences for different waveforms, if the UE can be configured for both </w:t>
      </w:r>
      <w:r>
        <w:rPr>
          <w:rFonts w:ascii="Times New Roman" w:eastAsia="MS Mincho" w:hAnsi="Times New Roman"/>
          <w:i/>
          <w:sz w:val="20"/>
          <w:szCs w:val="20"/>
          <w:lang w:eastAsia="ja-JP"/>
        </w:rPr>
        <w:t>waveforms.</w:t>
      </w:r>
    </w:p>
    <w:p w14:paraId="77BC3EE1" w14:textId="77777777" w:rsidR="00893205" w:rsidRDefault="00BA2EFD">
      <w:pPr>
        <w:numPr>
          <w:ilvl w:val="1"/>
          <w:numId w:val="2"/>
        </w:numPr>
        <w:snapToGrid w:val="0"/>
        <w:spacing w:before="180" w:after="60"/>
        <w:ind w:hanging="357"/>
        <w:rPr>
          <w:rFonts w:ascii="Times New Roman" w:eastAsia="MS Mincho" w:hAnsi="Times New Roman"/>
          <w:i/>
          <w:sz w:val="20"/>
          <w:szCs w:val="20"/>
          <w:lang w:eastAsia="ja-JP"/>
        </w:rPr>
      </w:pPr>
      <w:r>
        <w:rPr>
          <w:rFonts w:ascii="Times New Roman" w:eastAsia="MS Mincho" w:hAnsi="Times New Roman"/>
          <w:i/>
          <w:sz w:val="20"/>
          <w:szCs w:val="20"/>
          <w:lang w:eastAsia="ja-JP"/>
        </w:rPr>
        <w:t xml:space="preserve">FFS: offset configured/specified, reported, </w:t>
      </w:r>
    </w:p>
    <w:p w14:paraId="0BC53481" w14:textId="77777777" w:rsidR="00893205" w:rsidRDefault="00BA2EFD">
      <w:pPr>
        <w:numPr>
          <w:ilvl w:val="1"/>
          <w:numId w:val="2"/>
        </w:numPr>
        <w:snapToGrid w:val="0"/>
        <w:spacing w:before="180" w:after="60"/>
        <w:ind w:hanging="357"/>
        <w:rPr>
          <w:rFonts w:ascii="Times New Roman" w:eastAsia="MS Mincho" w:hAnsi="Times New Roman"/>
          <w:i/>
          <w:sz w:val="20"/>
          <w:szCs w:val="20"/>
          <w:lang w:eastAsia="ja-JP"/>
        </w:rPr>
      </w:pPr>
      <w:r>
        <w:rPr>
          <w:rFonts w:ascii="Times New Roman" w:eastAsia="MS Mincho" w:hAnsi="Times New Roman"/>
          <w:i/>
          <w:sz w:val="20"/>
          <w:szCs w:val="20"/>
          <w:lang w:eastAsia="ja-JP"/>
        </w:rPr>
        <w:t xml:space="preserve">FFS on the details of power control parameters for example, P_c, Max or </w:t>
      </w:r>
      <w:proofErr w:type="gramStart"/>
      <w:r>
        <w:rPr>
          <w:rFonts w:ascii="Times New Roman" w:eastAsia="MS Mincho" w:hAnsi="Times New Roman"/>
          <w:i/>
          <w:sz w:val="20"/>
          <w:szCs w:val="20"/>
          <w:lang w:eastAsia="ja-JP"/>
        </w:rPr>
        <w:t>other</w:t>
      </w:r>
      <w:proofErr w:type="gramEnd"/>
      <w:r>
        <w:rPr>
          <w:rFonts w:ascii="Times New Roman" w:eastAsia="MS Mincho" w:hAnsi="Times New Roman"/>
          <w:i/>
          <w:sz w:val="20"/>
          <w:szCs w:val="20"/>
          <w:lang w:eastAsia="ja-JP"/>
        </w:rPr>
        <w:t xml:space="preserve"> open/closed loop parameter</w:t>
      </w:r>
    </w:p>
    <w:p w14:paraId="277BE898" w14:textId="77777777" w:rsidR="00893205" w:rsidRDefault="00BA2EFD">
      <w:pPr>
        <w:snapToGrid w:val="0"/>
        <w:spacing w:beforeLines="50" w:before="180"/>
        <w:jc w:val="both"/>
        <w:rPr>
          <w:rFonts w:ascii="Times New Roman" w:eastAsia="宋体" w:hAnsi="Times New Roman"/>
          <w:sz w:val="20"/>
        </w:rPr>
      </w:pPr>
      <w:r>
        <w:rPr>
          <w:rFonts w:ascii="Times New Roman" w:eastAsia="宋体" w:hAnsi="Times New Roman" w:hint="eastAsia"/>
          <w:sz w:val="20"/>
        </w:rPr>
        <w:t>In this contribution, we elaborate PHR calculation for different waveforms and beam specific PH</w:t>
      </w:r>
      <w:r>
        <w:rPr>
          <w:rFonts w:ascii="Times New Roman" w:eastAsia="宋体" w:hAnsi="Times New Roman" w:hint="eastAsia"/>
          <w:sz w:val="20"/>
        </w:rPr>
        <w:t>R.</w:t>
      </w:r>
    </w:p>
    <w:p w14:paraId="5796DDBE" w14:textId="77777777" w:rsidR="00893205" w:rsidRDefault="00BA2EFD">
      <w:pPr>
        <w:pStyle w:val="Heading1"/>
        <w:keepNext/>
        <w:tabs>
          <w:tab w:val="left" w:pos="3686"/>
          <w:tab w:val="left" w:pos="4536"/>
        </w:tabs>
        <w:autoSpaceDE/>
        <w:autoSpaceDN/>
        <w:snapToGrid w:val="0"/>
        <w:spacing w:beforeLines="50" w:before="180" w:beforeAutospacing="0" w:afterAutospacing="0" w:line="240" w:lineRule="auto"/>
        <w:textAlignment w:val="baseline"/>
        <w:rPr>
          <w:rFonts w:ascii="Arial Unicode MS" w:eastAsia="Arial Unicode MS" w:hAnsi="Arial Unicode MS" w:cs="Arial Unicode MS"/>
          <w:sz w:val="28"/>
          <w:szCs w:val="28"/>
        </w:rPr>
      </w:pPr>
      <w:r>
        <w:rPr>
          <w:rFonts w:ascii="Arial Unicode MS" w:eastAsia="Arial Unicode MS" w:hAnsi="Arial Unicode MS" w:cs="Arial Unicode MS" w:hint="eastAsia"/>
          <w:sz w:val="28"/>
          <w:szCs w:val="28"/>
        </w:rPr>
        <w:t>Discussion</w:t>
      </w:r>
    </w:p>
    <w:p w14:paraId="51C5A9A6" w14:textId="77777777" w:rsidR="00893205" w:rsidRDefault="00BA2EFD">
      <w:pPr>
        <w:pStyle w:val="Heading2"/>
        <w:widowControl w:val="0"/>
        <w:tabs>
          <w:tab w:val="left" w:pos="3686"/>
          <w:tab w:val="left" w:pos="4536"/>
        </w:tabs>
        <w:snapToGrid w:val="0"/>
        <w:spacing w:beforeLines="50" w:before="180" w:beforeAutospacing="0" w:afterAutospacing="0" w:line="240" w:lineRule="auto"/>
        <w:jc w:val="both"/>
        <w:rPr>
          <w:rFonts w:ascii="Arial Unicode MS" w:eastAsia="Arial Unicode MS" w:hAnsi="Arial Unicode MS" w:cs="Arial Unicode MS"/>
        </w:rPr>
      </w:pPr>
      <w:r>
        <w:rPr>
          <w:rFonts w:ascii="Arial Unicode MS" w:eastAsia="Arial Unicode MS" w:hAnsi="Arial Unicode MS" w:cs="Arial Unicode MS" w:hint="eastAsia"/>
          <w:lang w:val="sv-SE"/>
        </w:rPr>
        <w:t>PHR</w:t>
      </w:r>
      <w:r>
        <w:rPr>
          <w:rFonts w:ascii="Arial Unicode MS" w:eastAsia="Arial Unicode MS" w:hAnsi="Arial Unicode MS" w:cs="Arial Unicode MS"/>
          <w:lang w:val="sv-SE"/>
        </w:rPr>
        <w:t xml:space="preserve"> for different waveforms</w:t>
      </w:r>
    </w:p>
    <w:p w14:paraId="270A272A" w14:textId="77777777" w:rsidR="00893205" w:rsidRDefault="00BA2EFD">
      <w:pPr>
        <w:snapToGrid w:val="0"/>
        <w:spacing w:beforeLines="50" w:before="180"/>
        <w:jc w:val="both"/>
        <w:rPr>
          <w:rFonts w:ascii="Times New Roman" w:eastAsia="宋体" w:hAnsi="Times New Roman"/>
          <w:sz w:val="20"/>
        </w:rPr>
      </w:pPr>
      <w:r>
        <w:rPr>
          <w:rFonts w:ascii="Times New Roman" w:eastAsia="宋体" w:hAnsi="Times New Roman" w:hint="eastAsia"/>
          <w:sz w:val="20"/>
        </w:rPr>
        <w:t xml:space="preserve">To keep power </w:t>
      </w:r>
      <w:r>
        <w:rPr>
          <w:rFonts w:ascii="Times New Roman" w:eastAsia="宋体" w:hAnsi="Times New Roman"/>
          <w:sz w:val="20"/>
        </w:rPr>
        <w:t>amplifier</w:t>
      </w:r>
      <w:r>
        <w:rPr>
          <w:rFonts w:ascii="Times New Roman" w:eastAsia="宋体" w:hAnsi="Times New Roman" w:hint="eastAsia"/>
          <w:sz w:val="20"/>
        </w:rPr>
        <w:t xml:space="preserve"> (PA) efficiency, it is better to introduce different UL PC </w:t>
      </w:r>
      <w:r>
        <w:rPr>
          <w:rFonts w:ascii="Times New Roman" w:eastAsia="宋体" w:hAnsi="Times New Roman"/>
          <w:sz w:val="20"/>
        </w:rPr>
        <w:t>mechanism</w:t>
      </w:r>
      <w:r>
        <w:rPr>
          <w:rFonts w:ascii="Times New Roman" w:eastAsia="宋体" w:hAnsi="Times New Roman" w:hint="eastAsia"/>
          <w:sz w:val="20"/>
        </w:rPr>
        <w:t>s for DFT-S-OFDM and CP-OFDM respectively because of the visible significant difference of CM</w:t>
      </w:r>
      <w:r>
        <w:rPr>
          <w:rFonts w:ascii="Times New Roman" w:eastAsia="宋体" w:hAnsi="Times New Roman" w:hint="eastAsia"/>
          <w:sz w:val="20"/>
        </w:rPr>
        <w:t xml:space="preserve"> (Cubic Metric)</w:t>
      </w:r>
      <w:r>
        <w:rPr>
          <w:rFonts w:ascii="Times New Roman" w:eastAsia="宋体" w:hAnsi="Times New Roman" w:hint="eastAsia"/>
          <w:sz w:val="20"/>
        </w:rPr>
        <w:t xml:space="preserve"> between these</w:t>
      </w:r>
      <w:r>
        <w:rPr>
          <w:rFonts w:ascii="Times New Roman" w:eastAsia="宋体" w:hAnsi="Times New Roman" w:hint="eastAsia"/>
          <w:sz w:val="20"/>
        </w:rPr>
        <w:t xml:space="preserve"> two </w:t>
      </w:r>
      <w:r>
        <w:rPr>
          <w:rFonts w:ascii="Times New Roman" w:eastAsia="宋体" w:hAnsi="Times New Roman"/>
          <w:sz w:val="20"/>
        </w:rPr>
        <w:t>transmission waveforms</w:t>
      </w:r>
      <w:r>
        <w:rPr>
          <w:rFonts w:ascii="Times New Roman" w:eastAsia="宋体" w:hAnsi="Times New Roman" w:hint="eastAsia"/>
          <w:sz w:val="20"/>
        </w:rPr>
        <w:t xml:space="preserve">. </w:t>
      </w:r>
      <w:r>
        <w:rPr>
          <w:rFonts w:ascii="Times New Roman" w:hAnsi="Times New Roman" w:hint="eastAsia"/>
          <w:sz w:val="20"/>
          <w:szCs w:val="20"/>
        </w:rPr>
        <w:t xml:space="preserve">Since CP-OFDM has higher PAPR than DFT-S-OFDM, </w:t>
      </w:r>
      <w:r>
        <w:rPr>
          <w:rFonts w:ascii="Times New Roman" w:eastAsia="宋体" w:hAnsi="Times New Roman" w:hint="eastAsia"/>
          <w:sz w:val="20"/>
        </w:rPr>
        <w:t xml:space="preserve">to avoid the </w:t>
      </w:r>
      <w:hyperlink r:id="rId7" w:tgtFrame="_self" w:history="1">
        <w:r>
          <w:rPr>
            <w:rFonts w:ascii="Times New Roman" w:eastAsia="宋体" w:hAnsi="Times New Roman"/>
            <w:sz w:val="20"/>
          </w:rPr>
          <w:t>distortion</w:t>
        </w:r>
      </w:hyperlink>
      <w:r>
        <w:rPr>
          <w:rFonts w:ascii="Times New Roman" w:eastAsia="宋体" w:hAnsi="Times New Roman" w:hint="eastAsia"/>
          <w:sz w:val="20"/>
        </w:rPr>
        <w:t xml:space="preserve"> of signal when UE transmits uplink signal using maximum power, the maximum transmission power should be back off compared with that of DFT-S-OFDM. </w:t>
      </w:r>
    </w:p>
    <w:p w14:paraId="4B8D3246" w14:textId="77777777" w:rsidR="00893205" w:rsidRDefault="00BA2EFD">
      <w:pPr>
        <w:snapToGrid w:val="0"/>
        <w:spacing w:beforeLines="50" w:before="180"/>
        <w:jc w:val="both"/>
        <w:rPr>
          <w:rFonts w:ascii="Times New Roman" w:hAnsi="Times New Roman"/>
          <w:iCs/>
          <w:sz w:val="20"/>
          <w:szCs w:val="20"/>
        </w:rPr>
      </w:pPr>
      <w:r>
        <w:rPr>
          <w:rFonts w:ascii="Times New Roman" w:hAnsi="Times New Roman" w:hint="eastAsia"/>
          <w:iCs/>
          <w:sz w:val="20"/>
          <w:szCs w:val="20"/>
        </w:rPr>
        <w:t xml:space="preserve">So far there has been mainly two candidate ways proposed to reflect the power backoff on Pcmax. </w:t>
      </w:r>
    </w:p>
    <w:p w14:paraId="02CE943B" w14:textId="77777777" w:rsidR="00893205" w:rsidRDefault="00BA2EFD">
      <w:pPr>
        <w:numPr>
          <w:ilvl w:val="0"/>
          <w:numId w:val="3"/>
        </w:numPr>
        <w:snapToGrid w:val="0"/>
        <w:spacing w:beforeLines="50" w:before="180"/>
        <w:jc w:val="both"/>
        <w:rPr>
          <w:rFonts w:ascii="Times New Roman" w:hAnsi="Times New Roman"/>
          <w:iCs/>
          <w:sz w:val="20"/>
          <w:szCs w:val="20"/>
        </w:rPr>
      </w:pPr>
      <w:r>
        <w:rPr>
          <w:rFonts w:ascii="Times New Roman" w:hAnsi="Times New Roman" w:hint="eastAsia"/>
          <w:iCs/>
          <w:sz w:val="20"/>
          <w:szCs w:val="20"/>
        </w:rPr>
        <w:t xml:space="preserve">Method 1: </w:t>
      </w:r>
      <w:r>
        <w:rPr>
          <w:rFonts w:ascii="Times New Roman" w:hAnsi="Times New Roman" w:hint="eastAsia"/>
          <w:iCs/>
          <w:sz w:val="20"/>
          <w:szCs w:val="20"/>
        </w:rPr>
        <w:t>Power offset of Pcmax</w:t>
      </w:r>
    </w:p>
    <w:p w14:paraId="4A194505" w14:textId="77777777" w:rsidR="00893205" w:rsidRDefault="00BA2EFD">
      <w:pPr>
        <w:snapToGrid w:val="0"/>
        <w:spacing w:beforeLines="50" w:before="180"/>
        <w:jc w:val="both"/>
        <w:rPr>
          <w:rFonts w:ascii="Times New Roman" w:eastAsia="宋体" w:hAnsi="Times New Roman"/>
          <w:sz w:val="20"/>
        </w:rPr>
      </w:pPr>
      <w:r>
        <w:rPr>
          <w:rFonts w:ascii="Times New Roman" w:eastAsia="宋体" w:hAnsi="Times New Roman" w:hint="eastAsia"/>
          <w:sz w:val="20"/>
        </w:rPr>
        <w:t xml:space="preserve">Since the </w:t>
      </w:r>
      <w:r>
        <w:rPr>
          <w:rFonts w:ascii="Times New Roman" w:eastAsia="MS Mincho" w:hAnsi="Times New Roman"/>
          <w:sz w:val="20"/>
          <w:szCs w:val="20"/>
          <w:lang w:eastAsia="ja-JP"/>
        </w:rPr>
        <w:t>gNB is aware of the power headroom differences for different waveforms</w:t>
      </w:r>
      <w:r>
        <w:rPr>
          <w:rFonts w:ascii="Times New Roman" w:eastAsia="宋体" w:hAnsi="Times New Roman" w:hint="eastAsia"/>
          <w:sz w:val="20"/>
          <w:szCs w:val="20"/>
        </w:rPr>
        <w:t xml:space="preserve">, for </w:t>
      </w:r>
      <w:r>
        <w:rPr>
          <w:rFonts w:ascii="Times New Roman" w:eastAsia="宋体" w:hAnsi="Times New Roman"/>
          <w:sz w:val="20"/>
          <w:szCs w:val="20"/>
        </w:rPr>
        <w:t>simp</w:t>
      </w:r>
      <w:r>
        <w:rPr>
          <w:rFonts w:ascii="Times New Roman" w:eastAsia="宋体" w:hAnsi="Times New Roman" w:hint="eastAsia"/>
          <w:sz w:val="20"/>
          <w:szCs w:val="20"/>
        </w:rPr>
        <w:t xml:space="preserve">licity, the power offset </w:t>
      </w:r>
      <w:bookmarkStart w:id="3" w:name="OLE_LINK206"/>
      <w:bookmarkStart w:id="4" w:name="OLE_LINK207"/>
      <w:r>
        <w:rPr>
          <w:rFonts w:ascii="Times New Roman" w:eastAsia="Times New Roman" w:hAnsi="Times New Roman"/>
          <w:position w:val="-4"/>
          <w:sz w:val="20"/>
          <w:szCs w:val="20"/>
          <w:lang w:val="en-GB" w:eastAsia="en-US"/>
        </w:rPr>
        <w:object w:dxaOrig="225" w:dyaOrig="263" w14:anchorId="7FBE4B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12.75pt" o:ole="">
            <v:imagedata r:id="rId8" o:title=""/>
          </v:shape>
          <o:OLEObject Type="Embed" ProgID="Equation.3" ShapeID="_x0000_i1025" DrawAspect="Content" ObjectID="_1564060337" r:id="rId9"/>
        </w:object>
      </w:r>
      <w:r>
        <w:rPr>
          <w:rFonts w:ascii="Times New Roman" w:eastAsia="宋体" w:hAnsi="Times New Roman" w:hint="eastAsia"/>
          <w:sz w:val="20"/>
          <w:szCs w:val="20"/>
          <w:lang w:val="en-GB"/>
        </w:rPr>
        <w:t xml:space="preserve"> </w:t>
      </w:r>
      <w:bookmarkEnd w:id="3"/>
      <w:bookmarkEnd w:id="4"/>
      <w:r>
        <w:rPr>
          <w:rFonts w:ascii="Times New Roman" w:eastAsia="宋体" w:hAnsi="Times New Roman" w:hint="eastAsia"/>
          <w:sz w:val="20"/>
          <w:szCs w:val="20"/>
          <w:lang w:val="en-GB"/>
        </w:rPr>
        <w:t xml:space="preserve">could be a specified value based on </w:t>
      </w:r>
      <w:r>
        <w:rPr>
          <w:rFonts w:ascii="Times New Roman" w:eastAsia="宋体" w:hAnsi="Times New Roman" w:hint="eastAsia"/>
          <w:sz w:val="20"/>
        </w:rPr>
        <w:t>the difference of CM</w:t>
      </w:r>
      <w:r>
        <w:rPr>
          <w:rFonts w:ascii="Times New Roman" w:eastAsia="宋体" w:hAnsi="Times New Roman" w:hint="eastAsia"/>
          <w:sz w:val="20"/>
          <w:szCs w:val="20"/>
          <w:lang w:val="en-GB"/>
        </w:rPr>
        <w:t xml:space="preserve"> between </w:t>
      </w:r>
      <w:r>
        <w:rPr>
          <w:rFonts w:ascii="Times New Roman" w:eastAsia="宋体" w:hAnsi="Times New Roman"/>
          <w:sz w:val="20"/>
        </w:rPr>
        <w:t>CP-OFDM and DFT-S-OFDM</w:t>
      </w:r>
      <w:r>
        <w:rPr>
          <w:rFonts w:ascii="Times New Roman" w:eastAsia="宋体" w:hAnsi="Times New Roman" w:hint="eastAsia"/>
          <w:sz w:val="20"/>
        </w:rPr>
        <w:t xml:space="preserve">. </w:t>
      </w:r>
    </w:p>
    <w:p w14:paraId="4679A364" w14:textId="77777777" w:rsidR="00893205" w:rsidRDefault="00BA2EFD">
      <w:pPr>
        <w:snapToGrid w:val="0"/>
        <w:spacing w:beforeLines="50" w:before="180"/>
        <w:jc w:val="both"/>
        <w:rPr>
          <w:rFonts w:ascii="Times New Roman" w:hAnsi="Times New Roman"/>
          <w:sz w:val="20"/>
          <w:szCs w:val="20"/>
        </w:rPr>
      </w:pPr>
      <w:r>
        <w:rPr>
          <w:rFonts w:ascii="Times New Roman" w:eastAsia="宋体" w:hAnsi="Times New Roman"/>
          <w:kern w:val="2"/>
          <w:sz w:val="21"/>
          <w:szCs w:val="24"/>
        </w:rPr>
        <w:lastRenderedPageBreak/>
        <w:tab/>
      </w:r>
      <w:r>
        <w:rPr>
          <w:rFonts w:ascii="Times New Roman" w:eastAsia="宋体" w:hAnsi="Times New Roman"/>
          <w:kern w:val="2"/>
          <w:position w:val="-34"/>
          <w:sz w:val="21"/>
          <w:szCs w:val="24"/>
        </w:rPr>
        <w:object w:dxaOrig="7989" w:dyaOrig="801" w14:anchorId="42727472">
          <v:shape id="_x0000_i1026" type="#_x0000_t75" style="width:399.2pt;height:40.1pt" o:ole="">
            <v:imagedata r:id="rId10" o:title=""/>
          </v:shape>
          <o:OLEObject Type="Embed" ProgID="Equation.3" ShapeID="_x0000_i1026" DrawAspect="Content" ObjectID="_1564060338" r:id="rId11"/>
        </w:object>
      </w:r>
    </w:p>
    <w:p w14:paraId="437E0440" w14:textId="77777777" w:rsidR="00893205" w:rsidRDefault="00BA2EFD">
      <w:pPr>
        <w:snapToGrid w:val="0"/>
        <w:spacing w:beforeLines="50" w:before="180"/>
        <w:jc w:val="both"/>
        <w:rPr>
          <w:rFonts w:ascii="Times New Roman" w:hAnsi="Times New Roman"/>
          <w:sz w:val="20"/>
          <w:szCs w:val="20"/>
        </w:rPr>
      </w:pPr>
      <w:r>
        <w:rPr>
          <w:rFonts w:ascii="Times New Roman" w:hAnsi="Times New Roman" w:hint="eastAsia"/>
          <w:sz w:val="20"/>
          <w:szCs w:val="20"/>
        </w:rPr>
        <w:t>If UE calculates PHR based on the real transmission, the adjusted maximum power of (</w:t>
      </w:r>
      <w:proofErr w:type="gramStart"/>
      <w:r>
        <w:rPr>
          <w:rFonts w:ascii="Times New Roman" w:hAnsi="Times New Roman" w:hint="eastAsia"/>
          <w:i/>
          <w:sz w:val="20"/>
          <w:szCs w:val="20"/>
        </w:rPr>
        <w:t>P</w:t>
      </w:r>
      <w:r>
        <w:rPr>
          <w:rFonts w:ascii="Times New Roman" w:hAnsi="Times New Roman" w:hint="eastAsia"/>
          <w:sz w:val="20"/>
          <w:szCs w:val="20"/>
          <w:vertAlign w:val="subscript"/>
        </w:rPr>
        <w:t>CMAX,C</w:t>
      </w:r>
      <w:proofErr w:type="gramEnd"/>
      <w:r>
        <w:rPr>
          <w:rFonts w:ascii="Times New Roman" w:hAnsi="Times New Roman" w:hint="eastAsia"/>
          <w:sz w:val="20"/>
          <w:szCs w:val="20"/>
        </w:rPr>
        <w:t xml:space="preserve"> - </w:t>
      </w:r>
      <w:r>
        <w:rPr>
          <w:rFonts w:ascii="Times New Roman" w:eastAsia="Times New Roman" w:hAnsi="Times New Roman"/>
          <w:position w:val="-4"/>
          <w:sz w:val="20"/>
          <w:szCs w:val="20"/>
          <w:lang w:val="en-GB" w:eastAsia="en-US"/>
        </w:rPr>
        <w:object w:dxaOrig="225" w:dyaOrig="263" w14:anchorId="3BEA14C1">
          <v:shape id="_x0000_i1027" type="#_x0000_t75" style="width:10.95pt;height:12.75pt" o:ole="">
            <v:imagedata r:id="rId8" o:title=""/>
          </v:shape>
          <o:OLEObject Type="Embed" ProgID="Equation.3" ShapeID="_x0000_i1027" DrawAspect="Content" ObjectID="_1564060339" r:id="rId12"/>
        </w:object>
      </w:r>
      <w:r>
        <w:rPr>
          <w:rFonts w:ascii="Times New Roman" w:hAnsi="Times New Roman" w:hint="eastAsia"/>
          <w:sz w:val="20"/>
          <w:szCs w:val="20"/>
        </w:rPr>
        <w:t xml:space="preserve">) is used as the power ceiling. gNB knows well </w:t>
      </w:r>
      <w:r>
        <w:rPr>
          <w:rFonts w:ascii="Times New Roman" w:hAnsi="Times New Roman"/>
          <w:sz w:val="20"/>
          <w:szCs w:val="20"/>
        </w:rPr>
        <w:t>about</w:t>
      </w:r>
      <w:r>
        <w:rPr>
          <w:rFonts w:ascii="Times New Roman" w:hAnsi="Times New Roman" w:hint="eastAsia"/>
          <w:sz w:val="20"/>
          <w:szCs w:val="20"/>
        </w:rPr>
        <w:t xml:space="preserve"> the UE</w:t>
      </w:r>
      <w:r>
        <w:rPr>
          <w:rFonts w:ascii="Times New Roman" w:hAnsi="Times New Roman"/>
          <w:sz w:val="20"/>
          <w:szCs w:val="20"/>
        </w:rPr>
        <w:t>’</w:t>
      </w:r>
      <w:r>
        <w:rPr>
          <w:rFonts w:ascii="Times New Roman" w:hAnsi="Times New Roman" w:hint="eastAsia"/>
          <w:sz w:val="20"/>
          <w:szCs w:val="20"/>
        </w:rPr>
        <w:t xml:space="preserve">s current waveform and the power offset </w:t>
      </w:r>
      <w:r>
        <w:rPr>
          <w:rFonts w:ascii="Times New Roman" w:eastAsia="Times New Roman" w:hAnsi="Times New Roman"/>
          <w:position w:val="-4"/>
          <w:sz w:val="20"/>
          <w:szCs w:val="20"/>
          <w:lang w:val="en-GB" w:eastAsia="en-US"/>
        </w:rPr>
        <w:object w:dxaOrig="225" w:dyaOrig="263" w14:anchorId="1E2AF3B3">
          <v:shape id="_x0000_i1028" type="#_x0000_t75" style="width:10.95pt;height:12.75pt" o:ole="">
            <v:imagedata r:id="rId8" o:title=""/>
          </v:shape>
          <o:OLEObject Type="Embed" ProgID="Equation.3" ShapeID="_x0000_i1028" DrawAspect="Content" ObjectID="_1564060340" r:id="rId13"/>
        </w:object>
      </w:r>
      <w:r>
        <w:rPr>
          <w:rFonts w:ascii="Times New Roman" w:hAnsi="Times New Roman"/>
          <w:position w:val="-4"/>
          <w:sz w:val="20"/>
          <w:szCs w:val="20"/>
          <w:lang w:val="en-GB"/>
        </w:rPr>
        <w:t>between</w:t>
      </w:r>
      <w:r>
        <w:rPr>
          <w:rFonts w:ascii="Times New Roman" w:hAnsi="Times New Roman" w:hint="eastAsia"/>
          <w:position w:val="-4"/>
          <w:sz w:val="20"/>
          <w:szCs w:val="20"/>
          <w:lang w:val="en-GB"/>
        </w:rPr>
        <w:t xml:space="preserve"> the two waveforms, it is not hard for gNB to derive the PHR for other waveform if needed. </w:t>
      </w:r>
      <w:r>
        <w:rPr>
          <w:rFonts w:ascii="Times New Roman" w:hAnsi="Times New Roman"/>
          <w:position w:val="-4"/>
          <w:sz w:val="20"/>
          <w:szCs w:val="20"/>
          <w:lang w:val="en-GB"/>
        </w:rPr>
        <w:t>I</w:t>
      </w:r>
      <w:r>
        <w:rPr>
          <w:rFonts w:ascii="Times New Roman" w:hAnsi="Times New Roman" w:hint="eastAsia"/>
          <w:position w:val="-4"/>
          <w:sz w:val="20"/>
          <w:szCs w:val="20"/>
          <w:lang w:val="en-GB"/>
        </w:rPr>
        <w:t xml:space="preserve">f asked to report PHR for both waveforms, UE can not get the real PHR for </w:t>
      </w:r>
      <w:r>
        <w:rPr>
          <w:rFonts w:ascii="Times New Roman" w:hAnsi="Times New Roman"/>
          <w:position w:val="-4"/>
          <w:sz w:val="20"/>
          <w:szCs w:val="20"/>
          <w:lang w:val="en-GB"/>
        </w:rPr>
        <w:t>another</w:t>
      </w:r>
      <w:r>
        <w:rPr>
          <w:rFonts w:ascii="Times New Roman" w:hAnsi="Times New Roman" w:hint="eastAsia"/>
          <w:position w:val="-4"/>
          <w:sz w:val="20"/>
          <w:szCs w:val="20"/>
          <w:lang w:val="en-GB"/>
        </w:rPr>
        <w:t xml:space="preserve"> waveform due to no real </w:t>
      </w:r>
      <w:r>
        <w:rPr>
          <w:rFonts w:ascii="Times New Roman" w:hAnsi="Times New Roman"/>
          <w:position w:val="-4"/>
          <w:sz w:val="20"/>
          <w:szCs w:val="20"/>
          <w:lang w:val="en-GB"/>
        </w:rPr>
        <w:t>transmission</w:t>
      </w:r>
      <w:r>
        <w:rPr>
          <w:rFonts w:ascii="Times New Roman" w:hAnsi="Times New Roman" w:hint="eastAsia"/>
          <w:position w:val="-4"/>
          <w:sz w:val="20"/>
          <w:szCs w:val="20"/>
          <w:lang w:val="en-GB"/>
        </w:rPr>
        <w:t xml:space="preserve"> of that waveform. </w:t>
      </w:r>
      <w:r>
        <w:rPr>
          <w:rFonts w:ascii="Times New Roman" w:hAnsi="Times New Roman"/>
          <w:position w:val="-4"/>
          <w:sz w:val="20"/>
          <w:szCs w:val="20"/>
          <w:lang w:val="en-GB"/>
        </w:rPr>
        <w:t>W</w:t>
      </w:r>
      <w:r>
        <w:rPr>
          <w:rFonts w:ascii="Times New Roman" w:hAnsi="Times New Roman" w:hint="eastAsia"/>
          <w:position w:val="-4"/>
          <w:sz w:val="20"/>
          <w:szCs w:val="20"/>
          <w:lang w:val="en-GB"/>
        </w:rPr>
        <w:t>hat the UE coul</w:t>
      </w:r>
      <w:r>
        <w:rPr>
          <w:rFonts w:ascii="Times New Roman" w:hAnsi="Times New Roman" w:hint="eastAsia"/>
          <w:position w:val="-4"/>
          <w:sz w:val="20"/>
          <w:szCs w:val="20"/>
          <w:lang w:val="en-GB"/>
        </w:rPr>
        <w:t xml:space="preserve">d do </w:t>
      </w:r>
      <w:r>
        <w:rPr>
          <w:rFonts w:ascii="Times New Roman" w:hAnsi="Times New Roman"/>
          <w:position w:val="-4"/>
          <w:sz w:val="20"/>
          <w:szCs w:val="20"/>
          <w:lang w:val="en-GB"/>
        </w:rPr>
        <w:t xml:space="preserve">is to </w:t>
      </w:r>
      <w:r>
        <w:rPr>
          <w:rFonts w:ascii="Times New Roman" w:hAnsi="Times New Roman" w:hint="eastAsia"/>
          <w:position w:val="-4"/>
          <w:sz w:val="20"/>
          <w:szCs w:val="20"/>
          <w:lang w:val="en-GB"/>
        </w:rPr>
        <w:t xml:space="preserve">apply a </w:t>
      </w:r>
      <w:r>
        <w:rPr>
          <w:rFonts w:ascii="Times New Roman" w:eastAsia="Times New Roman" w:hAnsi="Times New Roman"/>
          <w:position w:val="-4"/>
          <w:sz w:val="20"/>
          <w:szCs w:val="20"/>
          <w:lang w:val="en-GB" w:eastAsia="en-US"/>
        </w:rPr>
        <w:object w:dxaOrig="225" w:dyaOrig="263" w14:anchorId="70D3EDB8">
          <v:shape id="_x0000_i1029" type="#_x0000_t75" style="width:10.95pt;height:12.75pt" o:ole="">
            <v:imagedata r:id="rId8" o:title=""/>
          </v:shape>
          <o:OLEObject Type="Embed" ProgID="Equation.3" ShapeID="_x0000_i1029" DrawAspect="Content" ObjectID="_1564060341" r:id="rId14"/>
        </w:object>
      </w:r>
      <w:r>
        <w:rPr>
          <w:rFonts w:ascii="Times New Roman" w:hAnsi="Times New Roman" w:hint="eastAsia"/>
          <w:position w:val="-4"/>
          <w:sz w:val="20"/>
          <w:szCs w:val="20"/>
          <w:lang w:val="en-GB"/>
        </w:rPr>
        <w:t xml:space="preserve"> to the PHR of the current real transmission which could be done by gNB as well.</w:t>
      </w:r>
      <w:r>
        <w:rPr>
          <w:rFonts w:ascii="Times New Roman" w:hAnsi="Times New Roman" w:hint="eastAsia"/>
          <w:position w:val="-4"/>
          <w:sz w:val="20"/>
          <w:szCs w:val="20"/>
          <w:lang w:val="en-GB"/>
        </w:rPr>
        <w:t xml:space="preserve"> </w:t>
      </w:r>
      <w:r>
        <w:rPr>
          <w:rFonts w:ascii="Times New Roman" w:hAnsi="Times New Roman" w:hint="eastAsia"/>
          <w:position w:val="-4"/>
          <w:sz w:val="20"/>
          <w:szCs w:val="20"/>
          <w:lang w:val="en-GB"/>
        </w:rPr>
        <w:t xml:space="preserve">If UE has other power limitation for different waveforms besides the specified power offset </w:t>
      </w:r>
      <w:r>
        <w:rPr>
          <w:rFonts w:ascii="Times New Roman" w:eastAsia="Times New Roman" w:hAnsi="Times New Roman"/>
          <w:position w:val="-4"/>
          <w:sz w:val="20"/>
          <w:szCs w:val="20"/>
          <w:lang w:val="en-GB" w:eastAsia="en-US"/>
        </w:rPr>
        <w:object w:dxaOrig="225" w:dyaOrig="263" w14:anchorId="0D53A7EE">
          <v:shape id="_x0000_i1030" type="#_x0000_t75" style="width:10.95pt;height:12.75pt" o:ole="">
            <v:imagedata r:id="rId8" o:title=""/>
          </v:shape>
          <o:OLEObject Type="Embed" ProgID="Equation.3" ShapeID="_x0000_i1030" DrawAspect="Content" ObjectID="_1564060342" r:id="rId15"/>
        </w:object>
      </w:r>
      <w:r>
        <w:rPr>
          <w:rFonts w:ascii="Times New Roman" w:hAnsi="Times New Roman" w:hint="eastAsia"/>
          <w:position w:val="-4"/>
          <w:sz w:val="20"/>
          <w:szCs w:val="20"/>
          <w:lang w:val="en-GB"/>
        </w:rPr>
        <w:t>, which mainly refle</w:t>
      </w:r>
      <w:r>
        <w:rPr>
          <w:rFonts w:ascii="Times New Roman" w:hAnsi="Times New Roman" w:hint="eastAsia"/>
          <w:position w:val="-4"/>
          <w:sz w:val="20"/>
          <w:szCs w:val="20"/>
          <w:lang w:val="en-GB"/>
        </w:rPr>
        <w:t xml:space="preserve">cts </w:t>
      </w:r>
      <w:r>
        <w:rPr>
          <w:rFonts w:ascii="Times New Roman" w:hAnsi="Times New Roman"/>
          <w:position w:val="-4"/>
          <w:sz w:val="20"/>
          <w:szCs w:val="20"/>
          <w:lang w:val="en-GB"/>
        </w:rPr>
        <w:t>difference</w:t>
      </w:r>
      <w:r>
        <w:rPr>
          <w:rFonts w:ascii="Times New Roman" w:hAnsi="Times New Roman" w:hint="eastAsia"/>
          <w:position w:val="-4"/>
          <w:sz w:val="20"/>
          <w:szCs w:val="20"/>
          <w:lang w:val="en-GB"/>
        </w:rPr>
        <w:t xml:space="preserve"> of CM </w:t>
      </w:r>
      <w:r>
        <w:rPr>
          <w:rFonts w:ascii="Times New Roman" w:hAnsi="Times New Roman"/>
          <w:position w:val="-4"/>
          <w:sz w:val="20"/>
          <w:szCs w:val="20"/>
          <w:lang w:val="en-GB"/>
        </w:rPr>
        <w:t>between</w:t>
      </w:r>
      <w:r>
        <w:rPr>
          <w:rFonts w:ascii="Times New Roman" w:hAnsi="Times New Roman" w:hint="eastAsia"/>
          <w:position w:val="-4"/>
          <w:sz w:val="20"/>
          <w:szCs w:val="20"/>
          <w:lang w:val="en-GB"/>
        </w:rPr>
        <w:t xml:space="preserve"> two waveforms, UE could report it to gNB to avoid double PHR. </w:t>
      </w:r>
    </w:p>
    <w:p w14:paraId="5475EBAF" w14:textId="77777777" w:rsidR="00893205" w:rsidRDefault="00BA2EFD">
      <w:pPr>
        <w:numPr>
          <w:ilvl w:val="0"/>
          <w:numId w:val="3"/>
        </w:numPr>
        <w:snapToGrid w:val="0"/>
        <w:spacing w:beforeLines="50" w:before="180"/>
        <w:jc w:val="both"/>
        <w:rPr>
          <w:rFonts w:ascii="Times New Roman" w:hAnsi="Times New Roman"/>
          <w:iCs/>
          <w:sz w:val="20"/>
          <w:szCs w:val="20"/>
        </w:rPr>
      </w:pPr>
      <w:r>
        <w:rPr>
          <w:rFonts w:ascii="Times New Roman" w:hAnsi="Times New Roman" w:hint="eastAsia"/>
          <w:iCs/>
          <w:sz w:val="20"/>
          <w:szCs w:val="20"/>
        </w:rPr>
        <w:t>Method 2: a sort of MPR for determining Pcmax</w:t>
      </w:r>
    </w:p>
    <w:p w14:paraId="4ADF69A5" w14:textId="77777777" w:rsidR="00893205" w:rsidRDefault="00BA2EFD">
      <w:pPr>
        <w:snapToGrid w:val="0"/>
        <w:spacing w:beforeLines="50" w:before="180"/>
        <w:jc w:val="both"/>
        <w:rPr>
          <w:rFonts w:ascii="Times New Roman" w:hAnsi="Times New Roman"/>
          <w:sz w:val="20"/>
          <w:szCs w:val="20"/>
        </w:rPr>
      </w:pPr>
      <w:r>
        <w:rPr>
          <w:rFonts w:ascii="Times New Roman" w:hAnsi="Times New Roman" w:hint="eastAsia"/>
          <w:sz w:val="20"/>
          <w:szCs w:val="20"/>
        </w:rPr>
        <w:t xml:space="preserve">According to 36.101 as relevant formulas shown below, UE chooses a value between a lower limit </w:t>
      </w:r>
      <w:r>
        <w:rPr>
          <w:lang w:bidi="bn-IN"/>
        </w:rPr>
        <w:t>P</w:t>
      </w:r>
      <w:r>
        <w:rPr>
          <w:vertAlign w:val="subscript"/>
          <w:lang w:bidi="bn-IN"/>
        </w:rPr>
        <w:t>CMAX_</w:t>
      </w:r>
      <w:proofErr w:type="gramStart"/>
      <w:r>
        <w:rPr>
          <w:vertAlign w:val="subscript"/>
          <w:lang w:bidi="bn-IN"/>
        </w:rPr>
        <w:t>L,</w:t>
      </w:r>
      <w:r>
        <w:rPr>
          <w:i/>
          <w:vertAlign w:val="subscript"/>
          <w:lang w:bidi="bn-IN"/>
        </w:rPr>
        <w:t>c</w:t>
      </w:r>
      <w:proofErr w:type="gramEnd"/>
      <w:r>
        <w:rPr>
          <w:rFonts w:ascii="Times New Roman" w:hAnsi="Times New Roman" w:hint="eastAsia"/>
          <w:sz w:val="20"/>
          <w:szCs w:val="20"/>
        </w:rPr>
        <w:t xml:space="preserve"> and a upper limit </w:t>
      </w:r>
      <w:r>
        <w:rPr>
          <w:lang w:bidi="bn-IN"/>
        </w:rPr>
        <w:t>P</w:t>
      </w:r>
      <w:r>
        <w:rPr>
          <w:vertAlign w:val="subscript"/>
          <w:lang w:bidi="bn-IN"/>
        </w:rPr>
        <w:t>CMAX_H,</w:t>
      </w:r>
      <w:r>
        <w:rPr>
          <w:i/>
          <w:vertAlign w:val="subscript"/>
          <w:lang w:bidi="bn-IN"/>
        </w:rPr>
        <w:t>c</w:t>
      </w:r>
      <w:r>
        <w:rPr>
          <w:rFonts w:ascii="Times New Roman" w:hAnsi="Times New Roman" w:hint="eastAsia"/>
          <w:sz w:val="20"/>
          <w:szCs w:val="20"/>
        </w:rPr>
        <w:t xml:space="preserve">, for </w:t>
      </w:r>
      <w:r>
        <w:rPr>
          <w:lang w:bidi="bn-IN"/>
        </w:rPr>
        <w:t>P</w:t>
      </w:r>
      <w:r>
        <w:rPr>
          <w:vertAlign w:val="subscript"/>
          <w:lang w:bidi="bn-IN"/>
        </w:rPr>
        <w:t>CMAX,</w:t>
      </w:r>
      <w:r>
        <w:rPr>
          <w:i/>
          <w:vertAlign w:val="subscript"/>
          <w:lang w:bidi="bn-IN"/>
        </w:rPr>
        <w:t>c</w:t>
      </w:r>
      <w:r>
        <w:rPr>
          <w:vertAlign w:val="subscript"/>
          <w:lang w:bidi="bn-IN"/>
        </w:rPr>
        <w:t xml:space="preserve"> </w:t>
      </w:r>
      <w:r>
        <w:rPr>
          <w:rFonts w:ascii="Times New Roman" w:hAnsi="Times New Roman" w:hint="eastAsia"/>
          <w:sz w:val="20"/>
          <w:szCs w:val="20"/>
        </w:rPr>
        <w:t xml:space="preserve">. </w:t>
      </w:r>
    </w:p>
    <w:p w14:paraId="77E4CD4F" w14:textId="77777777" w:rsidR="00893205" w:rsidRDefault="00BA2EFD">
      <w:pPr>
        <w:pStyle w:val="a0"/>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napToGrid w:val="0"/>
        <w:spacing w:beforeLines="50" w:before="180" w:line="240" w:lineRule="auto"/>
        <w:jc w:val="center"/>
        <w:rPr>
          <w:lang w:bidi="bn-IN"/>
        </w:rPr>
      </w:pPr>
      <w:r>
        <w:rPr>
          <w:lang w:bidi="bn-IN"/>
        </w:rPr>
        <w:t>P</w:t>
      </w:r>
      <w:r>
        <w:rPr>
          <w:vertAlign w:val="subscript"/>
          <w:lang w:bidi="bn-IN"/>
        </w:rPr>
        <w:t>CMAX_</w:t>
      </w:r>
      <w:proofErr w:type="gramStart"/>
      <w:r>
        <w:rPr>
          <w:vertAlign w:val="subscript"/>
          <w:lang w:bidi="bn-IN"/>
        </w:rPr>
        <w:t>L,</w:t>
      </w:r>
      <w:r>
        <w:rPr>
          <w:i/>
          <w:vertAlign w:val="subscript"/>
          <w:lang w:bidi="bn-IN"/>
        </w:rPr>
        <w:t>c</w:t>
      </w:r>
      <w:proofErr w:type="gramEnd"/>
      <w:r>
        <w:rPr>
          <w:lang w:bidi="bn-IN"/>
        </w:rPr>
        <w:t xml:space="preserve"> ≤</w:t>
      </w:r>
      <w:r>
        <w:rPr>
          <w:rFonts w:hint="eastAsia"/>
          <w:lang w:bidi="bn-IN"/>
        </w:rPr>
        <w:t xml:space="preserve"> </w:t>
      </w:r>
      <w:r>
        <w:rPr>
          <w:lang w:bidi="bn-IN"/>
        </w:rPr>
        <w:t>P</w:t>
      </w:r>
      <w:r>
        <w:rPr>
          <w:vertAlign w:val="subscript"/>
          <w:lang w:bidi="bn-IN"/>
        </w:rPr>
        <w:t>CMAX,</w:t>
      </w:r>
      <w:r>
        <w:rPr>
          <w:i/>
          <w:vertAlign w:val="subscript"/>
          <w:lang w:bidi="bn-IN"/>
        </w:rPr>
        <w:t>c</w:t>
      </w:r>
      <w:r>
        <w:rPr>
          <w:rFonts w:hint="eastAsia"/>
          <w:vertAlign w:val="subscript"/>
          <w:lang w:bidi="bn-IN"/>
        </w:rPr>
        <w:t xml:space="preserve"> </w:t>
      </w:r>
      <w:r>
        <w:rPr>
          <w:lang w:bidi="bn-IN"/>
        </w:rPr>
        <w:t>≤</w:t>
      </w:r>
      <w:r>
        <w:rPr>
          <w:rFonts w:hint="eastAsia"/>
          <w:lang w:bidi="bn-IN"/>
        </w:rPr>
        <w:t xml:space="preserve"> </w:t>
      </w:r>
      <w:r>
        <w:rPr>
          <w:lang w:bidi="bn-IN"/>
        </w:rPr>
        <w:t>P</w:t>
      </w:r>
      <w:r>
        <w:rPr>
          <w:vertAlign w:val="subscript"/>
          <w:lang w:bidi="bn-IN"/>
        </w:rPr>
        <w:t>CMAX_H,</w:t>
      </w:r>
      <w:r>
        <w:rPr>
          <w:i/>
          <w:vertAlign w:val="subscript"/>
          <w:lang w:bidi="bn-IN"/>
        </w:rPr>
        <w:t>c</w:t>
      </w:r>
      <w:r>
        <w:rPr>
          <w:lang w:bidi="bn-IN"/>
        </w:rPr>
        <w:t xml:space="preserve"> with</w:t>
      </w:r>
    </w:p>
    <w:p w14:paraId="1FA53EE5" w14:textId="77777777" w:rsidR="00893205" w:rsidRDefault="00BA2EFD">
      <w:pPr>
        <w:pStyle w:val="EQ"/>
        <w:overflowPunct/>
        <w:snapToGrid w:val="0"/>
        <w:spacing w:beforeLines="50" w:before="180"/>
        <w:jc w:val="center"/>
        <w:textAlignment w:val="auto"/>
        <w:rPr>
          <w:lang w:bidi="bn-IN"/>
        </w:rPr>
      </w:pPr>
      <w:r>
        <w:rPr>
          <w:lang w:bidi="bn-IN"/>
        </w:rPr>
        <w:t>P</w:t>
      </w:r>
      <w:r>
        <w:rPr>
          <w:vertAlign w:val="subscript"/>
          <w:lang w:bidi="bn-IN"/>
        </w:rPr>
        <w:t>CMAX_</w:t>
      </w:r>
      <w:proofErr w:type="gramStart"/>
      <w:r>
        <w:rPr>
          <w:vertAlign w:val="subscript"/>
          <w:lang w:bidi="bn-IN"/>
        </w:rPr>
        <w:t>L</w:t>
      </w:r>
      <w:r>
        <w:rPr>
          <w:rFonts w:cs="Vrinda"/>
          <w:vertAlign w:val="subscript"/>
          <w:lang w:bidi="bn-IN"/>
        </w:rPr>
        <w:t>,</w:t>
      </w:r>
      <w:r>
        <w:rPr>
          <w:rFonts w:cs="Vrinda"/>
          <w:i/>
          <w:vertAlign w:val="subscript"/>
          <w:lang w:bidi="bn-IN"/>
        </w:rPr>
        <w:t>c</w:t>
      </w:r>
      <w:proofErr w:type="gramEnd"/>
      <w:r>
        <w:rPr>
          <w:lang w:bidi="bn-IN"/>
        </w:rPr>
        <w:t xml:space="preserve"> = MIN {P</w:t>
      </w:r>
      <w:r>
        <w:rPr>
          <w:vertAlign w:val="subscript"/>
          <w:lang w:bidi="bn-IN"/>
        </w:rPr>
        <w:t>EMAX</w:t>
      </w:r>
      <w:r>
        <w:rPr>
          <w:rFonts w:cs="Vrinda"/>
          <w:vertAlign w:val="subscript"/>
          <w:lang w:bidi="bn-IN"/>
        </w:rPr>
        <w:t>,</w:t>
      </w:r>
      <w:r>
        <w:rPr>
          <w:rFonts w:cs="Vrinda"/>
          <w:i/>
          <w:vertAlign w:val="subscript"/>
          <w:lang w:bidi="bn-IN"/>
        </w:rPr>
        <w:t>c</w:t>
      </w:r>
      <w:r>
        <w:rPr>
          <w:vertAlign w:val="subscript"/>
          <w:lang w:bidi="bn-IN"/>
        </w:rPr>
        <w:t xml:space="preserve"> </w:t>
      </w:r>
      <w:r>
        <w:rPr>
          <w:lang w:bidi="bn-IN"/>
        </w:rPr>
        <w:t xml:space="preserve">– </w:t>
      </w:r>
      <w:r>
        <w:rPr>
          <w:rFonts w:ascii="Symbol" w:hAnsi="Symbol"/>
          <w:lang w:bidi="bn-IN"/>
        </w:rPr>
        <w:t></w:t>
      </w:r>
      <w:r>
        <w:rPr>
          <w:lang w:bidi="bn-IN"/>
        </w:rPr>
        <w:t>T</w:t>
      </w:r>
      <w:r>
        <w:rPr>
          <w:vertAlign w:val="subscript"/>
          <w:lang w:bidi="bn-IN"/>
        </w:rPr>
        <w:t>C</w:t>
      </w:r>
      <w:r>
        <w:rPr>
          <w:rFonts w:cs="Vrinda"/>
          <w:vertAlign w:val="subscript"/>
          <w:lang w:bidi="bn-IN"/>
        </w:rPr>
        <w:t>,</w:t>
      </w:r>
      <w:r>
        <w:rPr>
          <w:rFonts w:cs="Vrinda"/>
          <w:i/>
          <w:vertAlign w:val="subscript"/>
          <w:lang w:bidi="bn-IN"/>
        </w:rPr>
        <w:t>c</w:t>
      </w:r>
      <w:r>
        <w:rPr>
          <w:lang w:bidi="bn-IN"/>
        </w:rPr>
        <w:t>,</w:t>
      </w:r>
      <w:r>
        <w:rPr>
          <w:rFonts w:eastAsia="宋体" w:hint="eastAsia"/>
          <w:lang w:eastAsia="zh-CN" w:bidi="bn-IN"/>
        </w:rPr>
        <w:t xml:space="preserve"> </w:t>
      </w:r>
      <w:r>
        <w:rPr>
          <w:lang w:bidi="bn-IN"/>
        </w:rPr>
        <w:t>(P</w:t>
      </w:r>
      <w:r>
        <w:rPr>
          <w:vertAlign w:val="subscript"/>
          <w:lang w:bidi="bn-IN"/>
        </w:rPr>
        <w:t>PowerClass</w:t>
      </w:r>
      <w:r>
        <w:rPr>
          <w:lang w:bidi="bn-IN"/>
        </w:rPr>
        <w:t xml:space="preserve"> – </w:t>
      </w:r>
      <w:r>
        <w:t>ΔP</w:t>
      </w:r>
      <w:r>
        <w:rPr>
          <w:vertAlign w:val="subscript"/>
        </w:rPr>
        <w:t>PowerClass</w:t>
      </w:r>
      <w:r>
        <w:t>)</w:t>
      </w:r>
      <w:r>
        <w:rPr>
          <w:lang w:bidi="bn-IN"/>
        </w:rPr>
        <w:t xml:space="preserve"> – MAX(MPR</w:t>
      </w:r>
      <w:r>
        <w:rPr>
          <w:rFonts w:cs="Vrinda"/>
          <w:i/>
          <w:vertAlign w:val="subscript"/>
          <w:lang w:bidi="bn-IN"/>
        </w:rPr>
        <w:t>c</w:t>
      </w:r>
      <w:r>
        <w:rPr>
          <w:lang w:bidi="bn-IN"/>
        </w:rPr>
        <w:t xml:space="preserve"> + A-MPR</w:t>
      </w:r>
      <w:r>
        <w:rPr>
          <w:rFonts w:cs="Vrinda"/>
          <w:i/>
          <w:vertAlign w:val="subscript"/>
          <w:lang w:bidi="bn-IN"/>
        </w:rPr>
        <w:t>c</w:t>
      </w:r>
      <w:r>
        <w:rPr>
          <w:lang w:bidi="bn-IN"/>
        </w:rPr>
        <w:t xml:space="preserve"> +</w:t>
      </w:r>
      <w:r>
        <w:t xml:space="preserve"> ΔT</w:t>
      </w:r>
      <w:r>
        <w:rPr>
          <w:vertAlign w:val="subscript"/>
        </w:rPr>
        <w:t>IB,c</w:t>
      </w:r>
      <w:r>
        <w:rPr>
          <w:lang w:bidi="bn-IN"/>
        </w:rPr>
        <w:t xml:space="preserve"> + </w:t>
      </w:r>
      <w:r>
        <w:rPr>
          <w:rFonts w:ascii="Symbol" w:hAnsi="Symbol"/>
          <w:lang w:bidi="bn-IN"/>
        </w:rPr>
        <w:t></w:t>
      </w:r>
      <w:r>
        <w:rPr>
          <w:lang w:bidi="bn-IN"/>
        </w:rPr>
        <w:t>T</w:t>
      </w:r>
      <w:r>
        <w:rPr>
          <w:vertAlign w:val="subscript"/>
          <w:lang w:bidi="bn-IN"/>
        </w:rPr>
        <w:t>C</w:t>
      </w:r>
      <w:r>
        <w:rPr>
          <w:rFonts w:cs="Vrinda"/>
          <w:vertAlign w:val="subscript"/>
          <w:lang w:bidi="bn-IN"/>
        </w:rPr>
        <w:t>,</w:t>
      </w:r>
      <w:r>
        <w:rPr>
          <w:rFonts w:cs="Vrinda"/>
          <w:i/>
          <w:vertAlign w:val="subscript"/>
          <w:lang w:bidi="bn-IN"/>
        </w:rPr>
        <w:t>c</w:t>
      </w:r>
      <w:r>
        <w:rPr>
          <w:rFonts w:cs="Vrinda"/>
          <w:lang w:bidi="bn-IN"/>
        </w:rPr>
        <w:t xml:space="preserve"> </w:t>
      </w:r>
      <w:r>
        <w:rPr>
          <w:lang w:bidi="bn-IN"/>
        </w:rPr>
        <w:t xml:space="preserve">+ </w:t>
      </w:r>
      <w:r>
        <w:rPr>
          <w:rFonts w:ascii="Symbol" w:hAnsi="Symbol"/>
          <w:lang w:bidi="bn-IN"/>
        </w:rPr>
        <w:t></w:t>
      </w:r>
      <w:r>
        <w:rPr>
          <w:lang w:bidi="bn-IN"/>
        </w:rPr>
        <w:t>T</w:t>
      </w:r>
      <w:r>
        <w:rPr>
          <w:vertAlign w:val="subscript"/>
          <w:lang w:bidi="bn-IN"/>
        </w:rPr>
        <w:t>ProSe</w:t>
      </w:r>
      <w:r>
        <w:rPr>
          <w:lang w:bidi="bn-IN"/>
        </w:rPr>
        <w:t>, P-MPR</w:t>
      </w:r>
      <w:r>
        <w:rPr>
          <w:rFonts w:cs="Vrinda"/>
          <w:i/>
          <w:vertAlign w:val="subscript"/>
          <w:lang w:bidi="bn-IN"/>
        </w:rPr>
        <w:t>c</w:t>
      </w:r>
      <w:r>
        <w:rPr>
          <w:lang w:bidi="bn-IN"/>
        </w:rPr>
        <w:t>)}</w:t>
      </w:r>
    </w:p>
    <w:p w14:paraId="216A9FF3" w14:textId="77777777" w:rsidR="00893205" w:rsidRDefault="00BA2EFD">
      <w:pPr>
        <w:pStyle w:val="EQ"/>
        <w:overflowPunct/>
        <w:snapToGrid w:val="0"/>
        <w:spacing w:beforeLines="50" w:before="180"/>
        <w:jc w:val="center"/>
        <w:textAlignment w:val="auto"/>
        <w:rPr>
          <w:lang w:bidi="bn-IN"/>
        </w:rPr>
      </w:pPr>
      <w:r>
        <w:rPr>
          <w:lang w:bidi="bn-IN"/>
        </w:rPr>
        <w:t>P</w:t>
      </w:r>
      <w:r>
        <w:rPr>
          <w:vertAlign w:val="subscript"/>
          <w:lang w:bidi="bn-IN"/>
        </w:rPr>
        <w:t>CMAX_</w:t>
      </w:r>
      <w:proofErr w:type="gramStart"/>
      <w:r>
        <w:rPr>
          <w:vertAlign w:val="subscript"/>
          <w:lang w:bidi="bn-IN"/>
        </w:rPr>
        <w:t>H</w:t>
      </w:r>
      <w:r>
        <w:rPr>
          <w:rFonts w:cs="Vrinda"/>
          <w:vertAlign w:val="subscript"/>
          <w:lang w:bidi="bn-IN"/>
        </w:rPr>
        <w:t>,</w:t>
      </w:r>
      <w:r>
        <w:rPr>
          <w:rFonts w:cs="Vrinda"/>
          <w:i/>
          <w:vertAlign w:val="subscript"/>
          <w:lang w:bidi="bn-IN"/>
        </w:rPr>
        <w:t>c</w:t>
      </w:r>
      <w:proofErr w:type="gramEnd"/>
      <w:r>
        <w:rPr>
          <w:lang w:bidi="bn-IN"/>
        </w:rPr>
        <w:t xml:space="preserve"> = MIN {P</w:t>
      </w:r>
      <w:r>
        <w:rPr>
          <w:vertAlign w:val="subscript"/>
          <w:lang w:bidi="bn-IN"/>
        </w:rPr>
        <w:t>EMAX</w:t>
      </w:r>
      <w:r>
        <w:rPr>
          <w:rFonts w:cs="Vrinda"/>
          <w:vertAlign w:val="subscript"/>
          <w:lang w:bidi="bn-IN"/>
        </w:rPr>
        <w:t>,</w:t>
      </w:r>
      <w:r>
        <w:rPr>
          <w:rFonts w:cs="Vrinda"/>
          <w:i/>
          <w:vertAlign w:val="subscript"/>
          <w:lang w:bidi="bn-IN"/>
        </w:rPr>
        <w:t>c</w:t>
      </w:r>
      <w:r>
        <w:rPr>
          <w:lang w:bidi="bn-IN"/>
        </w:rPr>
        <w:t>,</w:t>
      </w:r>
      <w:r>
        <w:rPr>
          <w:rFonts w:eastAsia="宋体" w:hint="eastAsia"/>
          <w:lang w:eastAsia="zh-CN" w:bidi="bn-IN"/>
        </w:rPr>
        <w:t xml:space="preserve"> </w:t>
      </w:r>
      <w:r>
        <w:rPr>
          <w:lang w:bidi="bn-IN"/>
        </w:rPr>
        <w:t>P</w:t>
      </w:r>
      <w:r>
        <w:rPr>
          <w:vertAlign w:val="subscript"/>
          <w:lang w:bidi="bn-IN"/>
        </w:rPr>
        <w:t>PowerClass</w:t>
      </w:r>
      <w:r>
        <w:t xml:space="preserve"> </w:t>
      </w:r>
      <w:r>
        <w:rPr>
          <w:lang w:bidi="bn-IN"/>
        </w:rPr>
        <w:t xml:space="preserve">– </w:t>
      </w:r>
      <w:r>
        <w:t>ΔP</w:t>
      </w:r>
      <w:r>
        <w:rPr>
          <w:vertAlign w:val="subscript"/>
        </w:rPr>
        <w:t>PowerClass</w:t>
      </w:r>
      <w:r>
        <w:rPr>
          <w:lang w:bidi="bn-IN"/>
        </w:rPr>
        <w:t>}</w:t>
      </w:r>
    </w:p>
    <w:p w14:paraId="1286EF11" w14:textId="77777777" w:rsidR="00893205" w:rsidRDefault="00BA2EFD">
      <w:pPr>
        <w:snapToGrid w:val="0"/>
        <w:spacing w:beforeLines="50" w:before="180"/>
        <w:jc w:val="both"/>
        <w:rPr>
          <w:rFonts w:ascii="Times New Roman" w:hAnsi="Times New Roman"/>
          <w:sz w:val="20"/>
          <w:szCs w:val="20"/>
        </w:rPr>
      </w:pPr>
      <w:r>
        <w:rPr>
          <w:rFonts w:ascii="Times New Roman" w:hAnsi="Times New Roman" w:hint="eastAsia"/>
          <w:sz w:val="20"/>
          <w:szCs w:val="20"/>
        </w:rPr>
        <w:t>where</w:t>
      </w:r>
    </w:p>
    <w:p w14:paraId="5D8E2515" w14:textId="77777777" w:rsidR="00893205" w:rsidRDefault="00BA2EFD">
      <w:pPr>
        <w:snapToGrid w:val="0"/>
        <w:spacing w:beforeLines="50" w:before="180"/>
        <w:jc w:val="both"/>
        <w:rPr>
          <w:rFonts w:ascii="Times New Roman" w:hAnsi="Times New Roman"/>
          <w:i/>
          <w:iCs/>
          <w:sz w:val="20"/>
          <w:szCs w:val="20"/>
        </w:rPr>
      </w:pPr>
      <w:r>
        <w:rPr>
          <w:rFonts w:ascii="Times New Roman" w:hAnsi="Times New Roman" w:hint="eastAsia"/>
          <w:i/>
          <w:iCs/>
          <w:sz w:val="20"/>
          <w:szCs w:val="20"/>
        </w:rPr>
        <w:t>-</w:t>
      </w:r>
      <w:r>
        <w:rPr>
          <w:rFonts w:ascii="Times New Roman" w:hAnsi="Times New Roman" w:hint="eastAsia"/>
          <w:i/>
          <w:iCs/>
          <w:sz w:val="20"/>
          <w:szCs w:val="20"/>
        </w:rPr>
        <w:tab/>
      </w:r>
      <w:proofErr w:type="gramStart"/>
      <w:r>
        <w:rPr>
          <w:rFonts w:ascii="Times New Roman" w:hAnsi="Times New Roman" w:hint="eastAsia"/>
          <w:i/>
          <w:iCs/>
          <w:sz w:val="20"/>
          <w:szCs w:val="20"/>
        </w:rPr>
        <w:t>PEMAX,c</w:t>
      </w:r>
      <w:proofErr w:type="gramEnd"/>
      <w:r>
        <w:rPr>
          <w:rFonts w:ascii="Times New Roman" w:hAnsi="Times New Roman" w:hint="eastAsia"/>
          <w:i/>
          <w:iCs/>
          <w:sz w:val="20"/>
          <w:szCs w:val="20"/>
        </w:rPr>
        <w:t xml:space="preserve"> is the value given by IE P-Max for serving cell c;</w:t>
      </w:r>
    </w:p>
    <w:p w14:paraId="31318287" w14:textId="77777777" w:rsidR="00893205" w:rsidRDefault="00BA2EFD">
      <w:pPr>
        <w:snapToGrid w:val="0"/>
        <w:spacing w:beforeLines="50" w:before="180"/>
        <w:jc w:val="both"/>
        <w:rPr>
          <w:rFonts w:ascii="Times New Roman" w:hAnsi="Times New Roman"/>
          <w:i/>
          <w:iCs/>
          <w:sz w:val="20"/>
          <w:szCs w:val="20"/>
        </w:rPr>
      </w:pPr>
      <w:r>
        <w:rPr>
          <w:rFonts w:ascii="Times New Roman" w:hAnsi="Times New Roman" w:hint="eastAsia"/>
          <w:i/>
          <w:iCs/>
          <w:sz w:val="20"/>
          <w:szCs w:val="20"/>
        </w:rPr>
        <w:t>-</w:t>
      </w:r>
      <w:r>
        <w:rPr>
          <w:rFonts w:ascii="Times New Roman" w:hAnsi="Times New Roman" w:hint="eastAsia"/>
          <w:i/>
          <w:iCs/>
          <w:sz w:val="20"/>
          <w:szCs w:val="20"/>
        </w:rPr>
        <w:tab/>
        <w:t>P</w:t>
      </w:r>
      <w:r>
        <w:rPr>
          <w:rFonts w:ascii="Times New Roman" w:hAnsi="Times New Roman" w:hint="eastAsia"/>
          <w:i/>
          <w:iCs/>
          <w:sz w:val="20"/>
          <w:szCs w:val="20"/>
          <w:vertAlign w:val="subscript"/>
        </w:rPr>
        <w:t>PowerClass</w:t>
      </w:r>
      <w:r>
        <w:rPr>
          <w:rFonts w:ascii="Times New Roman" w:hAnsi="Times New Roman" w:hint="eastAsia"/>
          <w:i/>
          <w:iCs/>
          <w:sz w:val="20"/>
          <w:szCs w:val="20"/>
        </w:rPr>
        <w:t xml:space="preserve"> is the maximum UE power without </w:t>
      </w:r>
      <w:proofErr w:type="gramStart"/>
      <w:r>
        <w:rPr>
          <w:rFonts w:ascii="Times New Roman" w:hAnsi="Times New Roman" w:hint="eastAsia"/>
          <w:i/>
          <w:iCs/>
          <w:sz w:val="20"/>
          <w:szCs w:val="20"/>
        </w:rPr>
        <w:t>taking into account</w:t>
      </w:r>
      <w:proofErr w:type="gramEnd"/>
      <w:r>
        <w:rPr>
          <w:rFonts w:ascii="Times New Roman" w:hAnsi="Times New Roman" w:hint="eastAsia"/>
          <w:i/>
          <w:iCs/>
          <w:sz w:val="20"/>
          <w:szCs w:val="20"/>
        </w:rPr>
        <w:t xml:space="preserve"> the tolerance specified;</w:t>
      </w:r>
    </w:p>
    <w:p w14:paraId="53693E19" w14:textId="77777777" w:rsidR="00893205" w:rsidRDefault="00BA2EFD">
      <w:pPr>
        <w:snapToGrid w:val="0"/>
        <w:spacing w:beforeLines="50" w:before="180"/>
        <w:jc w:val="both"/>
        <w:rPr>
          <w:rFonts w:ascii="Times New Roman" w:hAnsi="Times New Roman"/>
          <w:i/>
          <w:iCs/>
          <w:sz w:val="20"/>
          <w:szCs w:val="20"/>
        </w:rPr>
      </w:pPr>
      <w:r>
        <w:rPr>
          <w:rFonts w:ascii="Times New Roman" w:hAnsi="Times New Roman" w:hint="eastAsia"/>
          <w:i/>
          <w:iCs/>
          <w:sz w:val="20"/>
          <w:szCs w:val="20"/>
        </w:rPr>
        <w:t>-</w:t>
      </w:r>
      <w:r>
        <w:rPr>
          <w:rFonts w:ascii="Times New Roman" w:hAnsi="Times New Roman" w:hint="eastAsia"/>
          <w:i/>
          <w:iCs/>
          <w:sz w:val="20"/>
          <w:szCs w:val="20"/>
        </w:rPr>
        <w:tab/>
      </w:r>
      <w:r>
        <w:rPr>
          <w:rFonts w:ascii="Times New Roman" w:hAnsi="Times New Roman" w:hint="eastAsia"/>
          <w:i/>
          <w:iCs/>
          <w:sz w:val="20"/>
          <w:szCs w:val="20"/>
        </w:rPr>
        <w:t>Δ</w:t>
      </w:r>
      <w:r>
        <w:rPr>
          <w:rFonts w:ascii="Times New Roman" w:hAnsi="Times New Roman" w:hint="eastAsia"/>
          <w:i/>
          <w:iCs/>
          <w:sz w:val="20"/>
          <w:szCs w:val="20"/>
        </w:rPr>
        <w:t>P</w:t>
      </w:r>
      <w:r>
        <w:rPr>
          <w:rFonts w:ascii="Times New Roman" w:hAnsi="Times New Roman" w:hint="eastAsia"/>
          <w:i/>
          <w:iCs/>
          <w:sz w:val="20"/>
          <w:szCs w:val="20"/>
          <w:vertAlign w:val="subscript"/>
        </w:rPr>
        <w:t>PowerClass</w:t>
      </w:r>
      <w:r>
        <w:rPr>
          <w:rFonts w:ascii="Times New Roman" w:hAnsi="Times New Roman" w:hint="eastAsia"/>
          <w:i/>
          <w:iCs/>
          <w:sz w:val="20"/>
          <w:szCs w:val="20"/>
        </w:rPr>
        <w:t xml:space="preserve"> = 3 dB for a power class 2 capable UE operating in Band 41, when P-max of 23 dBm or</w:t>
      </w:r>
      <w:r>
        <w:rPr>
          <w:rFonts w:ascii="Times New Roman" w:hAnsi="Times New Roman" w:hint="eastAsia"/>
          <w:i/>
          <w:iCs/>
          <w:sz w:val="20"/>
          <w:szCs w:val="20"/>
        </w:rPr>
        <w:t xml:space="preserve"> lower is indicated or if the uplink/downlink configuration is 0 or 6 in the cell; otherwise, </w:t>
      </w:r>
      <w:r>
        <w:rPr>
          <w:rFonts w:ascii="Times New Roman" w:hAnsi="Times New Roman" w:hint="eastAsia"/>
          <w:i/>
          <w:iCs/>
          <w:sz w:val="20"/>
          <w:szCs w:val="20"/>
        </w:rPr>
        <w:t>Δ</w:t>
      </w:r>
      <w:r>
        <w:rPr>
          <w:rFonts w:ascii="Times New Roman" w:hAnsi="Times New Roman" w:hint="eastAsia"/>
          <w:i/>
          <w:iCs/>
          <w:sz w:val="20"/>
          <w:szCs w:val="20"/>
        </w:rPr>
        <w:t>PPowerClass = 0 dB</w:t>
      </w:r>
    </w:p>
    <w:p w14:paraId="078022BF" w14:textId="77777777" w:rsidR="00893205" w:rsidRDefault="00BA2EFD">
      <w:pPr>
        <w:snapToGrid w:val="0"/>
        <w:spacing w:beforeLines="50" w:before="180"/>
        <w:jc w:val="both"/>
        <w:rPr>
          <w:rFonts w:ascii="Times New Roman" w:hAnsi="Times New Roman"/>
          <w:i/>
          <w:iCs/>
          <w:sz w:val="20"/>
          <w:szCs w:val="20"/>
        </w:rPr>
      </w:pPr>
      <w:r>
        <w:rPr>
          <w:rFonts w:ascii="Times New Roman" w:hAnsi="Times New Roman" w:hint="eastAsia"/>
          <w:i/>
          <w:iCs/>
          <w:sz w:val="20"/>
          <w:szCs w:val="20"/>
        </w:rPr>
        <w:t>-</w:t>
      </w:r>
      <w:r>
        <w:rPr>
          <w:rFonts w:ascii="Times New Roman" w:hAnsi="Times New Roman" w:hint="eastAsia"/>
          <w:i/>
          <w:iCs/>
          <w:sz w:val="20"/>
          <w:szCs w:val="20"/>
        </w:rPr>
        <w:tab/>
        <w:t>MPRc and A-MPRc for serving cell c are specified in subclause 6.2.3 and subclause 6.2.4</w:t>
      </w:r>
      <w:r>
        <w:rPr>
          <w:rFonts w:ascii="Times New Roman" w:hAnsi="Times New Roman" w:hint="eastAsia"/>
          <w:i/>
          <w:iCs/>
          <w:sz w:val="20"/>
          <w:szCs w:val="20"/>
        </w:rPr>
        <w:t xml:space="preserve"> in 36.101</w:t>
      </w:r>
      <w:r>
        <w:rPr>
          <w:rFonts w:ascii="Times New Roman" w:hAnsi="Times New Roman" w:hint="eastAsia"/>
          <w:i/>
          <w:iCs/>
          <w:sz w:val="20"/>
          <w:szCs w:val="20"/>
        </w:rPr>
        <w:t>, respectively;</w:t>
      </w:r>
    </w:p>
    <w:p w14:paraId="59C1AECF" w14:textId="77777777" w:rsidR="00893205" w:rsidRDefault="00BA2EFD">
      <w:pPr>
        <w:snapToGrid w:val="0"/>
        <w:spacing w:beforeLines="50" w:before="180"/>
        <w:jc w:val="both"/>
        <w:rPr>
          <w:rFonts w:ascii="Times New Roman" w:hAnsi="Times New Roman"/>
          <w:i/>
          <w:iCs/>
          <w:sz w:val="20"/>
          <w:szCs w:val="20"/>
        </w:rPr>
      </w:pPr>
      <w:r>
        <w:rPr>
          <w:rFonts w:ascii="Times New Roman" w:hAnsi="Times New Roman" w:hint="eastAsia"/>
          <w:i/>
          <w:iCs/>
          <w:sz w:val="20"/>
          <w:szCs w:val="20"/>
        </w:rPr>
        <w:t>-</w:t>
      </w:r>
      <w:r>
        <w:rPr>
          <w:rFonts w:ascii="Times New Roman" w:hAnsi="Times New Roman" w:hint="eastAsia"/>
          <w:i/>
          <w:iCs/>
          <w:sz w:val="20"/>
          <w:szCs w:val="20"/>
        </w:rPr>
        <w:tab/>
      </w:r>
      <w:r>
        <w:rPr>
          <w:rFonts w:ascii="Times New Roman" w:hAnsi="Times New Roman" w:hint="eastAsia"/>
          <w:i/>
          <w:iCs/>
          <w:sz w:val="20"/>
          <w:szCs w:val="20"/>
        </w:rPr>
        <w:t></w:t>
      </w:r>
      <w:r>
        <w:rPr>
          <w:rFonts w:ascii="Times New Roman" w:hAnsi="Times New Roman" w:hint="eastAsia"/>
          <w:i/>
          <w:iCs/>
          <w:sz w:val="20"/>
          <w:szCs w:val="20"/>
        </w:rPr>
        <w:t xml:space="preserve">TIB,c is the additional </w:t>
      </w:r>
      <w:r>
        <w:rPr>
          <w:rFonts w:ascii="Times New Roman" w:hAnsi="Times New Roman" w:hint="eastAsia"/>
          <w:i/>
          <w:iCs/>
          <w:sz w:val="20"/>
          <w:szCs w:val="20"/>
        </w:rPr>
        <w:t>tolerance for serving cell c as specified in Table 6.2.5-2</w:t>
      </w:r>
      <w:r>
        <w:rPr>
          <w:rFonts w:ascii="Times New Roman" w:hAnsi="Times New Roman" w:hint="eastAsia"/>
          <w:i/>
          <w:iCs/>
          <w:sz w:val="20"/>
          <w:szCs w:val="20"/>
        </w:rPr>
        <w:t xml:space="preserve"> in 36.101</w:t>
      </w:r>
      <w:r>
        <w:rPr>
          <w:rFonts w:ascii="Times New Roman" w:hAnsi="Times New Roman" w:hint="eastAsia"/>
          <w:i/>
          <w:iCs/>
          <w:sz w:val="20"/>
          <w:szCs w:val="20"/>
        </w:rPr>
        <w:t>;</w:t>
      </w:r>
      <w:r>
        <w:rPr>
          <w:rFonts w:ascii="Times New Roman" w:hAnsi="Times New Roman" w:hint="eastAsia"/>
          <w:i/>
          <w:iCs/>
          <w:sz w:val="20"/>
          <w:szCs w:val="20"/>
        </w:rPr>
        <w:t xml:space="preserve"> </w:t>
      </w:r>
      <w:r>
        <w:rPr>
          <w:rFonts w:ascii="Times New Roman" w:hAnsi="Times New Roman" w:hint="eastAsia"/>
          <w:i/>
          <w:iCs/>
          <w:sz w:val="20"/>
          <w:szCs w:val="20"/>
        </w:rPr>
        <w:t>TIB,c = 0 dB otherwise;</w:t>
      </w:r>
    </w:p>
    <w:p w14:paraId="765C2897" w14:textId="77777777" w:rsidR="00893205" w:rsidRDefault="00BA2EFD">
      <w:pPr>
        <w:snapToGrid w:val="0"/>
        <w:spacing w:beforeLines="50" w:before="180"/>
        <w:jc w:val="both"/>
        <w:rPr>
          <w:rFonts w:ascii="Times New Roman" w:hAnsi="Times New Roman"/>
          <w:i/>
          <w:iCs/>
          <w:sz w:val="20"/>
          <w:szCs w:val="20"/>
        </w:rPr>
      </w:pPr>
      <w:r>
        <w:rPr>
          <w:rFonts w:ascii="Times New Roman" w:hAnsi="Times New Roman" w:hint="eastAsia"/>
          <w:i/>
          <w:iCs/>
          <w:sz w:val="20"/>
          <w:szCs w:val="20"/>
        </w:rPr>
        <w:t>-</w:t>
      </w:r>
      <w:r>
        <w:rPr>
          <w:rFonts w:ascii="Times New Roman" w:hAnsi="Times New Roman" w:hint="eastAsia"/>
          <w:i/>
          <w:iCs/>
          <w:sz w:val="20"/>
          <w:szCs w:val="20"/>
        </w:rPr>
        <w:tab/>
      </w:r>
      <w:r>
        <w:rPr>
          <w:rFonts w:ascii="Times New Roman" w:hAnsi="Times New Roman" w:hint="eastAsia"/>
          <w:i/>
          <w:iCs/>
          <w:sz w:val="20"/>
          <w:szCs w:val="20"/>
        </w:rPr>
        <w:t></w:t>
      </w:r>
      <w:r>
        <w:rPr>
          <w:rFonts w:ascii="Times New Roman" w:hAnsi="Times New Roman" w:hint="eastAsia"/>
          <w:i/>
          <w:iCs/>
          <w:sz w:val="20"/>
          <w:szCs w:val="20"/>
        </w:rPr>
        <w:t>TC,c = 1.5 dB when NOTE 2 in Table 6.2.2-1</w:t>
      </w:r>
      <w:r>
        <w:rPr>
          <w:rFonts w:ascii="Times New Roman" w:hAnsi="Times New Roman" w:hint="eastAsia"/>
          <w:i/>
          <w:iCs/>
          <w:sz w:val="20"/>
          <w:szCs w:val="20"/>
        </w:rPr>
        <w:t xml:space="preserve"> in 36.101</w:t>
      </w:r>
      <w:r>
        <w:rPr>
          <w:rFonts w:ascii="Times New Roman" w:hAnsi="Times New Roman" w:hint="eastAsia"/>
          <w:i/>
          <w:iCs/>
          <w:sz w:val="20"/>
          <w:szCs w:val="20"/>
        </w:rPr>
        <w:t xml:space="preserve"> applies;</w:t>
      </w:r>
    </w:p>
    <w:p w14:paraId="488E308D" w14:textId="77777777" w:rsidR="00893205" w:rsidRDefault="00BA2EFD">
      <w:pPr>
        <w:snapToGrid w:val="0"/>
        <w:spacing w:beforeLines="50" w:before="180"/>
        <w:jc w:val="both"/>
        <w:rPr>
          <w:rFonts w:ascii="Times New Roman" w:hAnsi="Times New Roman"/>
          <w:i/>
          <w:iCs/>
          <w:sz w:val="20"/>
          <w:szCs w:val="20"/>
        </w:rPr>
      </w:pPr>
      <w:r>
        <w:rPr>
          <w:rFonts w:ascii="Times New Roman" w:hAnsi="Times New Roman" w:hint="eastAsia"/>
          <w:i/>
          <w:iCs/>
          <w:sz w:val="20"/>
          <w:szCs w:val="20"/>
        </w:rPr>
        <w:t>-</w:t>
      </w:r>
      <w:r>
        <w:rPr>
          <w:rFonts w:ascii="Times New Roman" w:hAnsi="Times New Roman" w:hint="eastAsia"/>
          <w:i/>
          <w:iCs/>
          <w:sz w:val="20"/>
          <w:szCs w:val="20"/>
        </w:rPr>
        <w:tab/>
      </w:r>
      <w:r>
        <w:rPr>
          <w:rFonts w:ascii="Times New Roman" w:hAnsi="Times New Roman" w:hint="eastAsia"/>
          <w:i/>
          <w:iCs/>
          <w:sz w:val="20"/>
          <w:szCs w:val="20"/>
        </w:rPr>
        <w:t></w:t>
      </w:r>
      <w:r>
        <w:rPr>
          <w:rFonts w:ascii="Times New Roman" w:hAnsi="Times New Roman" w:hint="eastAsia"/>
          <w:i/>
          <w:iCs/>
          <w:sz w:val="20"/>
          <w:szCs w:val="20"/>
        </w:rPr>
        <w:t xml:space="preserve">TC,c = 0 dB when NOTE 2 in Table 6.2.2-1 </w:t>
      </w:r>
      <w:r>
        <w:rPr>
          <w:rFonts w:ascii="Times New Roman" w:hAnsi="Times New Roman" w:hint="eastAsia"/>
          <w:i/>
          <w:iCs/>
          <w:sz w:val="20"/>
          <w:szCs w:val="20"/>
        </w:rPr>
        <w:t xml:space="preserve">in 36.101 </w:t>
      </w:r>
      <w:r>
        <w:rPr>
          <w:rFonts w:ascii="Times New Roman" w:hAnsi="Times New Roman" w:hint="eastAsia"/>
          <w:i/>
          <w:iCs/>
          <w:sz w:val="20"/>
          <w:szCs w:val="20"/>
        </w:rPr>
        <w:t>does not apply;</w:t>
      </w:r>
    </w:p>
    <w:p w14:paraId="11E96944" w14:textId="77777777" w:rsidR="00893205" w:rsidRDefault="00BA2EFD">
      <w:pPr>
        <w:snapToGrid w:val="0"/>
        <w:spacing w:beforeLines="50" w:before="180"/>
        <w:jc w:val="both"/>
        <w:rPr>
          <w:rFonts w:ascii="Times New Roman" w:hAnsi="Times New Roman"/>
          <w:i/>
          <w:iCs/>
          <w:sz w:val="20"/>
          <w:szCs w:val="20"/>
        </w:rPr>
      </w:pPr>
      <w:r>
        <w:rPr>
          <w:rFonts w:ascii="Times New Roman" w:hAnsi="Times New Roman" w:hint="eastAsia"/>
          <w:i/>
          <w:iCs/>
          <w:sz w:val="20"/>
          <w:szCs w:val="20"/>
        </w:rPr>
        <w:t>-</w:t>
      </w:r>
      <w:r>
        <w:rPr>
          <w:rFonts w:ascii="Times New Roman" w:hAnsi="Times New Roman" w:hint="eastAsia"/>
          <w:i/>
          <w:iCs/>
          <w:sz w:val="20"/>
          <w:szCs w:val="20"/>
        </w:rPr>
        <w:tab/>
      </w:r>
      <w:r>
        <w:rPr>
          <w:rFonts w:ascii="Times New Roman" w:hAnsi="Times New Roman" w:hint="eastAsia"/>
          <w:i/>
          <w:iCs/>
          <w:sz w:val="20"/>
          <w:szCs w:val="20"/>
        </w:rPr>
        <w:t></w:t>
      </w:r>
      <w:r>
        <w:rPr>
          <w:rFonts w:ascii="Times New Roman" w:hAnsi="Times New Roman" w:hint="eastAsia"/>
          <w:i/>
          <w:iCs/>
          <w:sz w:val="20"/>
          <w:szCs w:val="20"/>
        </w:rPr>
        <w:t>T</w:t>
      </w:r>
      <w:r>
        <w:rPr>
          <w:rFonts w:ascii="Times New Roman" w:hAnsi="Times New Roman" w:hint="eastAsia"/>
          <w:i/>
          <w:iCs/>
          <w:sz w:val="20"/>
          <w:szCs w:val="20"/>
          <w:vertAlign w:val="subscript"/>
        </w:rPr>
        <w:t>ProSe</w:t>
      </w:r>
      <w:r>
        <w:rPr>
          <w:rFonts w:ascii="Times New Roman" w:hAnsi="Times New Roman" w:hint="eastAsia"/>
          <w:i/>
          <w:iCs/>
          <w:sz w:val="20"/>
          <w:szCs w:val="20"/>
        </w:rPr>
        <w:t xml:space="preserve"> = 0.1 dB when the</w:t>
      </w:r>
      <w:r>
        <w:rPr>
          <w:rFonts w:ascii="Times New Roman" w:hAnsi="Times New Roman" w:hint="eastAsia"/>
          <w:i/>
          <w:iCs/>
          <w:sz w:val="20"/>
          <w:szCs w:val="20"/>
        </w:rPr>
        <w:t xml:space="preserve"> UE supports ProSe Direct Discovery and/or ProSe Direct Communication on the corresponding E-UTRA ProSe band; </w:t>
      </w:r>
      <w:r>
        <w:rPr>
          <w:rFonts w:ascii="Times New Roman" w:hAnsi="Times New Roman" w:hint="eastAsia"/>
          <w:i/>
          <w:iCs/>
          <w:sz w:val="20"/>
          <w:szCs w:val="20"/>
        </w:rPr>
        <w:t></w:t>
      </w:r>
      <w:r>
        <w:rPr>
          <w:rFonts w:ascii="Times New Roman" w:hAnsi="Times New Roman" w:hint="eastAsia"/>
          <w:i/>
          <w:iCs/>
          <w:sz w:val="20"/>
          <w:szCs w:val="20"/>
        </w:rPr>
        <w:t>T</w:t>
      </w:r>
      <w:r>
        <w:rPr>
          <w:rFonts w:ascii="Times New Roman" w:hAnsi="Times New Roman" w:hint="eastAsia"/>
          <w:i/>
          <w:iCs/>
          <w:sz w:val="20"/>
          <w:szCs w:val="20"/>
          <w:vertAlign w:val="subscript"/>
        </w:rPr>
        <w:t>ProSe</w:t>
      </w:r>
      <w:r>
        <w:rPr>
          <w:rFonts w:ascii="Times New Roman" w:hAnsi="Times New Roman" w:hint="eastAsia"/>
          <w:i/>
          <w:iCs/>
          <w:sz w:val="20"/>
          <w:szCs w:val="20"/>
        </w:rPr>
        <w:t xml:space="preserve"> = 0 dB otherwise.</w:t>
      </w:r>
    </w:p>
    <w:p w14:paraId="42781997" w14:textId="77777777" w:rsidR="00893205" w:rsidRDefault="00BA2EFD">
      <w:pPr>
        <w:snapToGrid w:val="0"/>
        <w:spacing w:beforeLines="50" w:before="180"/>
        <w:jc w:val="both"/>
        <w:rPr>
          <w:rFonts w:ascii="Times New Roman" w:hAnsi="Times New Roman"/>
          <w:i/>
          <w:iCs/>
          <w:sz w:val="20"/>
          <w:szCs w:val="20"/>
        </w:rPr>
      </w:pPr>
      <w:r>
        <w:rPr>
          <w:rFonts w:ascii="Times New Roman" w:hAnsi="Times New Roman" w:hint="eastAsia"/>
          <w:i/>
          <w:iCs/>
          <w:sz w:val="20"/>
          <w:szCs w:val="20"/>
        </w:rPr>
        <w:t>P-MPRc is the allowed maximum output power reduction</w:t>
      </w:r>
      <w:r>
        <w:rPr>
          <w:rFonts w:ascii="Times New Roman" w:hAnsi="Times New Roman" w:hint="eastAsia"/>
          <w:i/>
          <w:iCs/>
          <w:sz w:val="20"/>
          <w:szCs w:val="20"/>
        </w:rPr>
        <w:t>.</w:t>
      </w:r>
    </w:p>
    <w:p w14:paraId="147A7F10" w14:textId="77777777" w:rsidR="00893205" w:rsidRDefault="00893205">
      <w:pPr>
        <w:snapToGrid w:val="0"/>
        <w:spacing w:beforeLines="50" w:before="180"/>
        <w:jc w:val="both"/>
        <w:rPr>
          <w:rFonts w:ascii="Times New Roman" w:hAnsi="Times New Roman"/>
          <w:i/>
          <w:iCs/>
          <w:sz w:val="20"/>
          <w:szCs w:val="20"/>
        </w:rPr>
      </w:pPr>
    </w:p>
    <w:p w14:paraId="3A694E0C" w14:textId="77777777" w:rsidR="00893205" w:rsidRDefault="00BA2EFD">
      <w:pPr>
        <w:snapToGrid w:val="0"/>
        <w:spacing w:beforeLines="50" w:before="180"/>
        <w:jc w:val="both"/>
        <w:rPr>
          <w:rFonts w:ascii="Times New Roman" w:hAnsi="Times New Roman"/>
          <w:sz w:val="20"/>
          <w:szCs w:val="20"/>
        </w:rPr>
      </w:pPr>
      <w:r>
        <w:rPr>
          <w:rFonts w:ascii="Times New Roman" w:hAnsi="Times New Roman" w:hint="eastAsia"/>
          <w:sz w:val="20"/>
          <w:szCs w:val="20"/>
        </w:rPr>
        <w:t>If the power back off is considered as a sort of MPR, it will exe</w:t>
      </w:r>
      <w:r>
        <w:rPr>
          <w:rFonts w:ascii="Times New Roman" w:hAnsi="Times New Roman" w:hint="eastAsia"/>
          <w:sz w:val="20"/>
          <w:szCs w:val="20"/>
        </w:rPr>
        <w:t xml:space="preserve">rt influence on the lower limit. In other words, UE has some extent of flexibility on </w:t>
      </w:r>
      <w:proofErr w:type="gramStart"/>
      <w:r>
        <w:rPr>
          <w:lang w:bidi="bn-IN"/>
        </w:rPr>
        <w:t>P</w:t>
      </w:r>
      <w:r>
        <w:rPr>
          <w:vertAlign w:val="subscript"/>
          <w:lang w:bidi="bn-IN"/>
        </w:rPr>
        <w:t>CMAX,</w:t>
      </w:r>
      <w:r>
        <w:rPr>
          <w:i/>
          <w:vertAlign w:val="subscript"/>
          <w:lang w:bidi="bn-IN"/>
        </w:rPr>
        <w:t>c</w:t>
      </w:r>
      <w:proofErr w:type="gramEnd"/>
      <w:r>
        <w:rPr>
          <w:rFonts w:hint="eastAsia"/>
          <w:vertAlign w:val="subscript"/>
          <w:lang w:bidi="bn-IN"/>
        </w:rPr>
        <w:t xml:space="preserve"> </w:t>
      </w:r>
      <w:r>
        <w:rPr>
          <w:rFonts w:ascii="Times New Roman" w:hAnsi="Times New Roman" w:hint="eastAsia"/>
          <w:sz w:val="20"/>
          <w:szCs w:val="20"/>
        </w:rPr>
        <w:t xml:space="preserve">which is blind to gNB. In such case, it seems to be necessary for UE to report power headroom for both waveforms, </w:t>
      </w:r>
      <w:proofErr w:type="gramStart"/>
      <w:r>
        <w:rPr>
          <w:rFonts w:ascii="Times New Roman" w:hAnsi="Times New Roman" w:hint="eastAsia"/>
          <w:sz w:val="20"/>
          <w:szCs w:val="20"/>
        </w:rPr>
        <w:t>taking into account</w:t>
      </w:r>
      <w:proofErr w:type="gramEnd"/>
      <w:r>
        <w:rPr>
          <w:rFonts w:ascii="Times New Roman" w:hAnsi="Times New Roman" w:hint="eastAsia"/>
          <w:sz w:val="20"/>
          <w:szCs w:val="20"/>
        </w:rPr>
        <w:t xml:space="preserve"> </w:t>
      </w:r>
      <w:r>
        <w:rPr>
          <w:rFonts w:ascii="Times New Roman" w:hAnsi="Times New Roman"/>
          <w:sz w:val="20"/>
          <w:szCs w:val="20"/>
        </w:rPr>
        <w:t>dynamical</w:t>
      </w:r>
      <w:r>
        <w:rPr>
          <w:rFonts w:ascii="Times New Roman" w:hAnsi="Times New Roman" w:hint="eastAsia"/>
          <w:sz w:val="20"/>
          <w:szCs w:val="20"/>
        </w:rPr>
        <w:t xml:space="preserve"> waveform switching</w:t>
      </w:r>
      <w:r>
        <w:rPr>
          <w:rFonts w:ascii="Times New Roman" w:hAnsi="Times New Roman" w:hint="eastAsia"/>
          <w:sz w:val="20"/>
          <w:szCs w:val="20"/>
        </w:rPr>
        <w:t>.</w:t>
      </w:r>
    </w:p>
    <w:p w14:paraId="74E3F5E7" w14:textId="77777777" w:rsidR="00893205" w:rsidRDefault="00BA2EFD">
      <w:pPr>
        <w:snapToGrid w:val="0"/>
        <w:spacing w:beforeLines="50" w:before="180"/>
        <w:jc w:val="both"/>
        <w:rPr>
          <w:rFonts w:ascii="Times New Roman" w:hAnsi="Times New Roman"/>
          <w:i/>
          <w:iCs/>
          <w:sz w:val="20"/>
          <w:szCs w:val="20"/>
        </w:rPr>
      </w:pPr>
      <w:bookmarkStart w:id="5" w:name="OLE_LINK4"/>
      <w:r>
        <w:rPr>
          <w:rFonts w:ascii="Times New Roman" w:hAnsi="Times New Roman" w:hint="eastAsia"/>
          <w:b/>
          <w:i/>
          <w:sz w:val="20"/>
          <w:szCs w:val="20"/>
        </w:rPr>
        <w:t>Observation</w:t>
      </w:r>
      <w:r>
        <w:rPr>
          <w:rFonts w:ascii="Times New Roman" w:hAnsi="Times New Roman" w:hint="eastAsia"/>
          <w:b/>
          <w:bCs/>
          <w:i/>
          <w:iCs/>
          <w:sz w:val="20"/>
          <w:szCs w:val="20"/>
        </w:rPr>
        <w:t xml:space="preserve"> 1</w:t>
      </w:r>
      <w:r>
        <w:rPr>
          <w:rFonts w:ascii="Times New Roman" w:hAnsi="Times New Roman" w:hint="eastAsia"/>
          <w:b/>
          <w:i/>
          <w:iCs/>
          <w:sz w:val="20"/>
          <w:szCs w:val="20"/>
        </w:rPr>
        <w:t>:</w:t>
      </w:r>
      <w:r>
        <w:rPr>
          <w:rFonts w:ascii="Times New Roman" w:hAnsi="Times New Roman" w:hint="eastAsia"/>
          <w:i/>
          <w:iCs/>
          <w:sz w:val="20"/>
          <w:szCs w:val="20"/>
        </w:rPr>
        <w:t xml:space="preserve"> One PHR is reported on transmitted waveform by the method of power back off reflection for Pcmax, the PHR for </w:t>
      </w:r>
      <w:proofErr w:type="gramStart"/>
      <w:r>
        <w:rPr>
          <w:rFonts w:ascii="Times New Roman" w:hAnsi="Times New Roman" w:hint="eastAsia"/>
          <w:i/>
          <w:iCs/>
          <w:sz w:val="20"/>
          <w:szCs w:val="20"/>
        </w:rPr>
        <w:t>other</w:t>
      </w:r>
      <w:proofErr w:type="gramEnd"/>
      <w:r>
        <w:rPr>
          <w:rFonts w:ascii="Times New Roman" w:hAnsi="Times New Roman" w:hint="eastAsia"/>
          <w:i/>
          <w:iCs/>
          <w:sz w:val="20"/>
          <w:szCs w:val="20"/>
        </w:rPr>
        <w:t xml:space="preserve"> waveform can be inferred accordingly; but, two PHR for each waveform should be reported if supporting different MPR per waveform.</w:t>
      </w:r>
    </w:p>
    <w:p w14:paraId="685D8D0F" w14:textId="77777777" w:rsidR="00893205" w:rsidRDefault="00BA2EFD">
      <w:pPr>
        <w:snapToGrid w:val="0"/>
        <w:spacing w:beforeLines="50" w:before="180"/>
        <w:jc w:val="both"/>
        <w:rPr>
          <w:rFonts w:ascii="Times New Roman" w:eastAsia="宋体" w:hAnsi="Times New Roman"/>
          <w:b/>
          <w:i/>
          <w:sz w:val="20"/>
          <w:szCs w:val="20"/>
          <w:lang w:val="en-GB"/>
        </w:rPr>
      </w:pPr>
      <w:r>
        <w:rPr>
          <w:rFonts w:ascii="Times New Roman" w:eastAsia="宋体" w:hAnsi="Times New Roman" w:hint="eastAsia"/>
          <w:b/>
          <w:i/>
          <w:sz w:val="20"/>
          <w:szCs w:val="20"/>
          <w:lang w:val="en-GB"/>
        </w:rPr>
        <w:lastRenderedPageBreak/>
        <w:t xml:space="preserve">Proposal </w:t>
      </w:r>
      <w:r>
        <w:rPr>
          <w:rFonts w:ascii="Times New Roman" w:eastAsia="宋体" w:hAnsi="Times New Roman" w:hint="eastAsia"/>
          <w:b/>
          <w:i/>
          <w:sz w:val="20"/>
          <w:szCs w:val="20"/>
          <w:lang w:val="en-GB"/>
        </w:rPr>
        <w:t>1</w:t>
      </w:r>
      <w:r>
        <w:rPr>
          <w:rFonts w:ascii="Times New Roman" w:eastAsia="宋体" w:hAnsi="Times New Roman"/>
          <w:b/>
          <w:i/>
          <w:sz w:val="20"/>
          <w:szCs w:val="20"/>
          <w:lang w:val="en-GB"/>
        </w:rPr>
        <w:t>:</w:t>
      </w:r>
      <w:r>
        <w:rPr>
          <w:rFonts w:ascii="Times New Roman" w:eastAsia="宋体" w:hAnsi="Times New Roman" w:hint="eastAsia"/>
          <w:b/>
          <w:i/>
          <w:sz w:val="20"/>
          <w:szCs w:val="20"/>
          <w:lang w:val="en-GB"/>
        </w:rPr>
        <w:t xml:space="preserve"> </w:t>
      </w:r>
      <w:r>
        <w:rPr>
          <w:rFonts w:ascii="Times New Roman" w:eastAsia="宋体" w:hAnsi="Times New Roman" w:hint="eastAsia"/>
          <w:i/>
          <w:sz w:val="20"/>
          <w:szCs w:val="20"/>
          <w:lang w:val="en-GB"/>
        </w:rPr>
        <w:t xml:space="preserve">The maximum transmission power should be </w:t>
      </w:r>
      <w:r>
        <w:rPr>
          <w:rFonts w:ascii="Times New Roman" w:eastAsia="宋体" w:hAnsi="Times New Roman"/>
          <w:i/>
          <w:sz w:val="20"/>
          <w:szCs w:val="20"/>
          <w:lang w:val="en-GB"/>
        </w:rPr>
        <w:t>back off</w:t>
      </w:r>
      <w:r>
        <w:rPr>
          <w:rFonts w:ascii="Times New Roman" w:eastAsia="宋体" w:hAnsi="Times New Roman" w:hint="eastAsia"/>
          <w:i/>
          <w:sz w:val="20"/>
          <w:szCs w:val="20"/>
          <w:lang w:val="en-GB"/>
        </w:rPr>
        <w:t xml:space="preserve"> when CP-OFDM is applied to UE, </w:t>
      </w:r>
      <w:r>
        <w:rPr>
          <w:rFonts w:ascii="Times New Roman" w:eastAsia="宋体" w:hAnsi="Times New Roman" w:hint="eastAsia"/>
          <w:i/>
          <w:sz w:val="20"/>
          <w:szCs w:val="20"/>
        </w:rPr>
        <w:t xml:space="preserve">the power offset </w:t>
      </w:r>
      <w:r>
        <w:rPr>
          <w:rFonts w:ascii="Times New Roman" w:eastAsia="宋体" w:hAnsi="Times New Roman"/>
          <w:i/>
          <w:sz w:val="20"/>
          <w:szCs w:val="20"/>
          <w:lang w:val="en-GB"/>
        </w:rPr>
        <w:t>could</w:t>
      </w:r>
      <w:r>
        <w:rPr>
          <w:rFonts w:ascii="Times New Roman" w:eastAsia="宋体" w:hAnsi="Times New Roman" w:hint="eastAsia"/>
          <w:i/>
          <w:sz w:val="20"/>
          <w:szCs w:val="20"/>
          <w:lang w:val="en-GB"/>
        </w:rPr>
        <w:t xml:space="preserve"> be a specified value based on </w:t>
      </w:r>
      <w:r>
        <w:rPr>
          <w:rFonts w:ascii="Times New Roman" w:eastAsia="宋体" w:hAnsi="Times New Roman" w:hint="eastAsia"/>
          <w:i/>
          <w:sz w:val="20"/>
        </w:rPr>
        <w:t>the difference of CM</w:t>
      </w:r>
      <w:r>
        <w:rPr>
          <w:rFonts w:ascii="Times New Roman" w:eastAsia="宋体" w:hAnsi="Times New Roman" w:hint="eastAsia"/>
          <w:i/>
          <w:sz w:val="20"/>
          <w:szCs w:val="20"/>
          <w:lang w:val="en-GB"/>
        </w:rPr>
        <w:t xml:space="preserve"> between </w:t>
      </w:r>
      <w:r>
        <w:rPr>
          <w:rFonts w:ascii="Times New Roman" w:eastAsia="宋体" w:hAnsi="Times New Roman"/>
          <w:i/>
          <w:sz w:val="20"/>
        </w:rPr>
        <w:t>CP-OFDM and DFT-S-OFDM</w:t>
      </w:r>
      <w:r>
        <w:rPr>
          <w:rFonts w:ascii="Times New Roman" w:eastAsia="宋体" w:hAnsi="Times New Roman" w:hint="eastAsia"/>
          <w:i/>
          <w:sz w:val="20"/>
        </w:rPr>
        <w:t xml:space="preserve">. </w:t>
      </w:r>
    </w:p>
    <w:bookmarkEnd w:id="5"/>
    <w:p w14:paraId="67F97940" w14:textId="77777777" w:rsidR="00893205" w:rsidRDefault="00BA2EFD">
      <w:pPr>
        <w:pStyle w:val="Heading2"/>
        <w:widowControl w:val="0"/>
        <w:tabs>
          <w:tab w:val="left" w:pos="3686"/>
          <w:tab w:val="left" w:pos="4536"/>
        </w:tabs>
        <w:snapToGrid w:val="0"/>
        <w:spacing w:beforeLines="50" w:before="180" w:beforeAutospacing="0" w:afterAutospacing="0" w:line="240" w:lineRule="auto"/>
        <w:jc w:val="both"/>
        <w:rPr>
          <w:rFonts w:ascii="Arial Unicode MS" w:eastAsia="Arial Unicode MS" w:hAnsi="Arial Unicode MS" w:cs="Arial Unicode MS"/>
        </w:rPr>
      </w:pPr>
      <w:r>
        <w:rPr>
          <w:rFonts w:ascii="Arial Unicode MS" w:eastAsia="Arial Unicode MS" w:hAnsi="Arial Unicode MS" w:cs="Arial Unicode MS"/>
          <w:lang w:val="sv-SE"/>
        </w:rPr>
        <w:t>B</w:t>
      </w:r>
      <w:r>
        <w:rPr>
          <w:rFonts w:ascii="Arial Unicode MS" w:eastAsia="Arial Unicode MS" w:hAnsi="Arial Unicode MS" w:cs="Arial Unicode MS" w:hint="eastAsia"/>
          <w:lang w:val="sv-SE"/>
        </w:rPr>
        <w:t>eam specific PHR</w:t>
      </w:r>
    </w:p>
    <w:p w14:paraId="68AD6F4E" w14:textId="77777777" w:rsidR="00893205" w:rsidRDefault="00BA2EFD">
      <w:pPr>
        <w:snapToGrid w:val="0"/>
        <w:spacing w:beforeLines="50" w:before="180"/>
        <w:jc w:val="both"/>
        <w:rPr>
          <w:rFonts w:ascii="Times New Roman" w:hAnsi="Times New Roman"/>
          <w:sz w:val="20"/>
        </w:rPr>
      </w:pPr>
      <w:r>
        <w:rPr>
          <w:rFonts w:ascii="Times New Roman" w:hAnsi="Times New Roman"/>
          <w:sz w:val="20"/>
          <w:lang w:val="en-GB"/>
        </w:rPr>
        <w:t>B</w:t>
      </w:r>
      <w:r>
        <w:rPr>
          <w:rFonts w:ascii="Times New Roman" w:hAnsi="Times New Roman" w:hint="eastAsia"/>
          <w:sz w:val="20"/>
          <w:lang w:val="en-GB"/>
        </w:rPr>
        <w:t xml:space="preserve">eam specific power control is supported in NR as baseline, so some open loop and </w:t>
      </w:r>
      <w:r>
        <w:rPr>
          <w:rFonts w:ascii="Times New Roman" w:hAnsi="Times New Roman"/>
          <w:sz w:val="20"/>
          <w:lang w:val="en-GB"/>
        </w:rPr>
        <w:t>closed</w:t>
      </w:r>
      <w:r>
        <w:rPr>
          <w:rFonts w:ascii="Times New Roman" w:hAnsi="Times New Roman" w:hint="eastAsia"/>
          <w:sz w:val="20"/>
          <w:lang w:val="en-GB"/>
        </w:rPr>
        <w:t xml:space="preserve"> loop parameters could be beam specific. PHR is not a direct parameter for UL power calculation but has influence on gNB when it decides TPC command which may be beam sp</w:t>
      </w:r>
      <w:r>
        <w:rPr>
          <w:rFonts w:ascii="Times New Roman" w:hAnsi="Times New Roman" w:hint="eastAsia"/>
          <w:sz w:val="20"/>
          <w:lang w:val="en-GB"/>
        </w:rPr>
        <w:t xml:space="preserve">ecific. </w:t>
      </w:r>
      <w:r>
        <w:rPr>
          <w:rFonts w:ascii="Times New Roman" w:hAnsi="Times New Roman"/>
          <w:sz w:val="20"/>
          <w:lang w:val="en-GB"/>
        </w:rPr>
        <w:t>F</w:t>
      </w:r>
      <w:r>
        <w:rPr>
          <w:rFonts w:ascii="Times New Roman" w:hAnsi="Times New Roman" w:hint="eastAsia"/>
          <w:sz w:val="20"/>
          <w:lang w:val="en-GB"/>
        </w:rPr>
        <w:t>rom this perspective, beam specific PHR seems beneficial for accurate power control. Some detail of beam specific power control framework can be found in companion contribution</w:t>
      </w:r>
      <w:r>
        <w:rPr>
          <w:rFonts w:ascii="Times New Roman" w:hAnsi="Times New Roman" w:hint="eastAsia"/>
          <w:sz w:val="20"/>
          <w:lang w:val="en-GB"/>
        </w:rPr>
        <w:t xml:space="preserve"> </w:t>
      </w:r>
      <w:r>
        <w:rPr>
          <w:rFonts w:ascii="Times New Roman" w:hAnsi="Times New Roman" w:hint="eastAsia"/>
          <w:sz w:val="20"/>
        </w:rPr>
        <w:t xml:space="preserve">[5]. </w:t>
      </w:r>
    </w:p>
    <w:p w14:paraId="6093E21E" w14:textId="77777777" w:rsidR="00893205" w:rsidRDefault="00BA2EFD">
      <w:pPr>
        <w:pStyle w:val="a0"/>
        <w:snapToGrid w:val="0"/>
        <w:spacing w:beforeLines="50" w:before="180" w:line="240" w:lineRule="auto"/>
        <w:ind w:firstLine="0"/>
        <w:rPr>
          <w:sz w:val="20"/>
        </w:rPr>
      </w:pPr>
      <w:r>
        <w:rPr>
          <w:rFonts w:hint="eastAsia"/>
          <w:sz w:val="20"/>
        </w:rPr>
        <w:t xml:space="preserve">In this </w:t>
      </w:r>
      <w:r>
        <w:rPr>
          <w:sz w:val="20"/>
        </w:rPr>
        <w:t>recommended</w:t>
      </w:r>
      <w:r>
        <w:rPr>
          <w:rFonts w:hint="eastAsia"/>
          <w:sz w:val="20"/>
        </w:rPr>
        <w:t xml:space="preserve"> framework, gNB configures or re-configures one or more </w:t>
      </w:r>
      <w:r>
        <w:rPr>
          <w:rFonts w:hint="eastAsia"/>
          <w:sz w:val="20"/>
        </w:rPr>
        <w:t>ULTxPara</w:t>
      </w:r>
      <w:r>
        <w:rPr>
          <w:rFonts w:hint="eastAsia"/>
          <w:sz w:val="20"/>
        </w:rPr>
        <w:t xml:space="preserve"> (</w:t>
      </w:r>
      <w:r>
        <w:rPr>
          <w:sz w:val="20"/>
        </w:rPr>
        <w:t xml:space="preserve">UL </w:t>
      </w:r>
      <w:r>
        <w:rPr>
          <w:rFonts w:hint="eastAsia"/>
          <w:sz w:val="20"/>
        </w:rPr>
        <w:t xml:space="preserve">transmit parameter set) setting for a UE. For each of PUSCH, PUCCH and SRS, gNB could configure one or more </w:t>
      </w:r>
      <w:r>
        <w:rPr>
          <w:rFonts w:hint="eastAsia"/>
          <w:sz w:val="20"/>
        </w:rPr>
        <w:t xml:space="preserve">ULTxPara </w:t>
      </w:r>
      <w:r>
        <w:rPr>
          <w:rFonts w:hint="eastAsia"/>
          <w:sz w:val="20"/>
        </w:rPr>
        <w:t xml:space="preserve">settings, and each </w:t>
      </w:r>
      <w:r>
        <w:rPr>
          <w:rFonts w:hint="eastAsia"/>
          <w:sz w:val="20"/>
        </w:rPr>
        <w:t xml:space="preserve">ULTxPara </w:t>
      </w:r>
      <w:r>
        <w:rPr>
          <w:rFonts w:hint="eastAsia"/>
          <w:sz w:val="20"/>
        </w:rPr>
        <w:t xml:space="preserve">setting includes one or more </w:t>
      </w:r>
      <w:r>
        <w:rPr>
          <w:rFonts w:hint="eastAsia"/>
          <w:sz w:val="20"/>
        </w:rPr>
        <w:t xml:space="preserve">ULTxPara </w:t>
      </w:r>
      <w:r>
        <w:rPr>
          <w:rFonts w:hint="eastAsia"/>
          <w:sz w:val="20"/>
        </w:rPr>
        <w:t>sets</w:t>
      </w:r>
      <w:r>
        <w:rPr>
          <w:rFonts w:hint="eastAsia"/>
          <w:sz w:val="20"/>
        </w:rPr>
        <w:t xml:space="preserve"> (transmit parameters set). A </w:t>
      </w:r>
      <w:r>
        <w:rPr>
          <w:rFonts w:hint="eastAsia"/>
          <w:sz w:val="20"/>
        </w:rPr>
        <w:t xml:space="preserve">ULTxPara </w:t>
      </w:r>
      <w:r>
        <w:rPr>
          <w:rFonts w:hint="eastAsia"/>
          <w:sz w:val="20"/>
        </w:rPr>
        <w:t xml:space="preserve">set is </w:t>
      </w:r>
      <w:r>
        <w:rPr>
          <w:sz w:val="20"/>
        </w:rPr>
        <w:t>equivalent</w:t>
      </w:r>
      <w:r>
        <w:rPr>
          <w:rFonts w:hint="eastAsia"/>
          <w:sz w:val="20"/>
        </w:rPr>
        <w:t xml:space="preserve"> to a power control loop. Each (</w:t>
      </w:r>
      <w:r>
        <w:rPr>
          <w:rFonts w:hint="eastAsia"/>
          <w:sz w:val="20"/>
        </w:rPr>
        <w:t xml:space="preserve">ULTxPara </w:t>
      </w:r>
      <w:r>
        <w:rPr>
          <w:rFonts w:hint="eastAsia"/>
          <w:sz w:val="20"/>
        </w:rPr>
        <w:t>set) at least includes the following information</w:t>
      </w:r>
      <w:r>
        <w:rPr>
          <w:rFonts w:hint="eastAsia"/>
          <w:sz w:val="20"/>
        </w:rPr>
        <w:t xml:space="preserve"> </w:t>
      </w:r>
      <w:r>
        <w:rPr>
          <w:sz w:val="20"/>
        </w:rPr>
        <w:t>for PUSCH and PUCCH</w:t>
      </w:r>
      <w:r>
        <w:rPr>
          <w:rFonts w:hint="eastAsia"/>
          <w:sz w:val="20"/>
        </w:rPr>
        <w:t>:</w:t>
      </w:r>
    </w:p>
    <w:p w14:paraId="2456907C" w14:textId="77777777" w:rsidR="00893205" w:rsidRDefault="00BA2EFD">
      <w:pPr>
        <w:pStyle w:val="a0"/>
        <w:numPr>
          <w:ilvl w:val="0"/>
          <w:numId w:val="4"/>
        </w:numPr>
        <w:snapToGrid w:val="0"/>
        <w:spacing w:beforeLines="50" w:before="180" w:line="240" w:lineRule="auto"/>
        <w:rPr>
          <w:sz w:val="20"/>
        </w:rPr>
      </w:pPr>
      <w:r>
        <w:rPr>
          <w:rFonts w:hint="eastAsia"/>
          <w:sz w:val="20"/>
        </w:rPr>
        <w:t>TX beam (group) indication, indicating the transmit resources</w:t>
      </w:r>
    </w:p>
    <w:p w14:paraId="27F1BAFE" w14:textId="77777777" w:rsidR="00893205" w:rsidRDefault="00BA2EFD">
      <w:pPr>
        <w:pStyle w:val="a0"/>
        <w:numPr>
          <w:ilvl w:val="0"/>
          <w:numId w:val="4"/>
        </w:numPr>
        <w:snapToGrid w:val="0"/>
        <w:spacing w:beforeLines="50" w:before="180" w:line="240" w:lineRule="auto"/>
        <w:rPr>
          <w:sz w:val="20"/>
        </w:rPr>
      </w:pPr>
      <w:r>
        <w:rPr>
          <w:rFonts w:hint="eastAsia"/>
          <w:sz w:val="20"/>
        </w:rPr>
        <w:t>UE specific part of P0</w:t>
      </w:r>
      <w:r>
        <w:rPr>
          <w:rFonts w:hint="eastAsia"/>
          <w:sz w:val="20"/>
        </w:rPr>
        <w:t xml:space="preserve"> </w:t>
      </w:r>
    </w:p>
    <w:p w14:paraId="7F9F62DC" w14:textId="77777777" w:rsidR="00893205" w:rsidRDefault="00BA2EFD">
      <w:pPr>
        <w:pStyle w:val="a0"/>
        <w:snapToGrid w:val="0"/>
        <w:spacing w:beforeLines="50" w:before="180" w:after="0" w:line="240" w:lineRule="auto"/>
        <w:ind w:firstLine="0"/>
        <w:rPr>
          <w:sz w:val="20"/>
        </w:rPr>
      </w:pPr>
      <w:r>
        <w:rPr>
          <w:sz w:val="20"/>
        </w:rPr>
        <w:t>For</w:t>
      </w:r>
      <w:r>
        <w:rPr>
          <w:sz w:val="20"/>
        </w:rPr>
        <w:t xml:space="preserve"> transmission of SRS, PL setting can be configured under SRS resource setting. Then PUSCH and PUCCH transmission can link to </w:t>
      </w:r>
      <w:proofErr w:type="gramStart"/>
      <w:r>
        <w:rPr>
          <w:sz w:val="20"/>
        </w:rPr>
        <w:t>particular SRS</w:t>
      </w:r>
      <w:proofErr w:type="gramEnd"/>
      <w:r>
        <w:rPr>
          <w:sz w:val="20"/>
        </w:rPr>
        <w:t xml:space="preserve"> resource (group) to obtain corresponding PL.</w:t>
      </w:r>
    </w:p>
    <w:p w14:paraId="20A081CB" w14:textId="77777777" w:rsidR="00893205" w:rsidRDefault="00BA2EFD">
      <w:pPr>
        <w:pStyle w:val="a0"/>
        <w:numPr>
          <w:ilvl w:val="0"/>
          <w:numId w:val="4"/>
        </w:numPr>
        <w:snapToGrid w:val="0"/>
        <w:spacing w:beforeLines="50" w:before="180" w:after="0" w:line="240" w:lineRule="auto"/>
        <w:rPr>
          <w:sz w:val="20"/>
        </w:rPr>
      </w:pPr>
      <w:r>
        <w:rPr>
          <w:rFonts w:hint="eastAsia"/>
          <w:sz w:val="20"/>
        </w:rPr>
        <w:t>PL setting, including DL RS resource indication(s) which are used for p</w:t>
      </w:r>
      <w:r>
        <w:rPr>
          <w:rFonts w:hint="eastAsia"/>
          <w:sz w:val="20"/>
        </w:rPr>
        <w:t xml:space="preserve">athloss measurement. </w:t>
      </w:r>
    </w:p>
    <w:p w14:paraId="48A00391" w14:textId="77777777" w:rsidR="00893205" w:rsidRDefault="00BA2EFD">
      <w:pPr>
        <w:pStyle w:val="a0"/>
        <w:snapToGrid w:val="0"/>
        <w:spacing w:beforeLines="50" w:before="180" w:line="240" w:lineRule="auto"/>
        <w:ind w:firstLine="0"/>
        <w:rPr>
          <w:sz w:val="20"/>
        </w:rPr>
      </w:pPr>
      <w:r>
        <w:rPr>
          <w:rFonts w:hint="eastAsia"/>
          <w:sz w:val="20"/>
        </w:rPr>
        <w:t>ULTxPara</w:t>
      </w:r>
      <w:r>
        <w:rPr>
          <w:rFonts w:hint="eastAsia"/>
          <w:sz w:val="20"/>
        </w:rPr>
        <w:t xml:space="preserve"> set ID if more than one </w:t>
      </w:r>
      <w:r>
        <w:rPr>
          <w:rFonts w:hint="eastAsia"/>
          <w:sz w:val="20"/>
        </w:rPr>
        <w:t>ULTxPara</w:t>
      </w:r>
      <w:r>
        <w:rPr>
          <w:rFonts w:hint="eastAsia"/>
          <w:sz w:val="20"/>
        </w:rPr>
        <w:t xml:space="preserve"> set is configured. </w:t>
      </w:r>
    </w:p>
    <w:p w14:paraId="3DB59BB5" w14:textId="77777777" w:rsidR="00893205" w:rsidRDefault="00BA2EFD">
      <w:pPr>
        <w:pStyle w:val="a0"/>
        <w:snapToGrid w:val="0"/>
        <w:spacing w:beforeLines="50" w:before="180" w:line="240" w:lineRule="auto"/>
        <w:ind w:firstLine="0"/>
        <w:rPr>
          <w:sz w:val="20"/>
        </w:rPr>
      </w:pPr>
      <w:r>
        <w:rPr>
          <w:rFonts w:hint="eastAsia"/>
          <w:sz w:val="20"/>
        </w:rPr>
        <w:t>Generally, PHR process should be maintained based on power control loop. If a UL transmission is scheduled on more than one TX beam at the same time, the PHR should be cons</w:t>
      </w:r>
      <w:r>
        <w:rPr>
          <w:rFonts w:hint="eastAsia"/>
          <w:sz w:val="20"/>
        </w:rPr>
        <w:t>idered as one power headroom calculation for the total transmit power of all these TX beams. gNB configures PHR setting via RRC signal or MAC CE, which includes the following information,</w:t>
      </w:r>
    </w:p>
    <w:p w14:paraId="7B2333E9" w14:textId="77777777" w:rsidR="00893205" w:rsidRDefault="00BA2EFD">
      <w:pPr>
        <w:pStyle w:val="a0"/>
        <w:numPr>
          <w:ilvl w:val="0"/>
          <w:numId w:val="5"/>
        </w:numPr>
        <w:snapToGrid w:val="0"/>
        <w:spacing w:beforeLines="50" w:before="180" w:line="240" w:lineRule="auto"/>
        <w:rPr>
          <w:sz w:val="20"/>
        </w:rPr>
      </w:pPr>
      <w:r>
        <w:rPr>
          <w:rFonts w:hint="eastAsia"/>
          <w:sz w:val="20"/>
        </w:rPr>
        <w:t xml:space="preserve">Timers, refers to the two timers </w:t>
      </w:r>
      <w:r>
        <w:rPr>
          <w:rFonts w:hint="eastAsia"/>
          <w:i/>
          <w:iCs/>
          <w:sz w:val="20"/>
        </w:rPr>
        <w:t>periodicPHR-Timer</w:t>
      </w:r>
      <w:r>
        <w:rPr>
          <w:rFonts w:hint="eastAsia"/>
          <w:sz w:val="20"/>
        </w:rPr>
        <w:t xml:space="preserve"> and </w:t>
      </w:r>
      <w:r>
        <w:rPr>
          <w:rFonts w:hint="eastAsia"/>
          <w:i/>
          <w:iCs/>
          <w:sz w:val="20"/>
        </w:rPr>
        <w:t>prohibitPHR-T</w:t>
      </w:r>
      <w:r>
        <w:rPr>
          <w:rFonts w:hint="eastAsia"/>
          <w:i/>
          <w:iCs/>
          <w:sz w:val="20"/>
        </w:rPr>
        <w:t>imer</w:t>
      </w:r>
      <w:r>
        <w:rPr>
          <w:rFonts w:hint="eastAsia"/>
          <w:sz w:val="20"/>
        </w:rPr>
        <w:t xml:space="preserve"> </w:t>
      </w:r>
      <w:proofErr w:type="gramStart"/>
      <w:r>
        <w:rPr>
          <w:rFonts w:hint="eastAsia"/>
          <w:sz w:val="20"/>
        </w:rPr>
        <w:t>similar to</w:t>
      </w:r>
      <w:proofErr w:type="gramEnd"/>
      <w:r>
        <w:rPr>
          <w:rFonts w:hint="eastAsia"/>
          <w:sz w:val="20"/>
        </w:rPr>
        <w:t xml:space="preserve"> LTE</w:t>
      </w:r>
    </w:p>
    <w:p w14:paraId="108B6496" w14:textId="77777777" w:rsidR="00893205" w:rsidRDefault="00BA2EFD">
      <w:pPr>
        <w:pStyle w:val="a0"/>
        <w:numPr>
          <w:ilvl w:val="0"/>
          <w:numId w:val="5"/>
        </w:numPr>
        <w:snapToGrid w:val="0"/>
        <w:spacing w:beforeLines="50" w:before="180" w:line="240" w:lineRule="auto"/>
        <w:rPr>
          <w:sz w:val="20"/>
        </w:rPr>
      </w:pPr>
      <w:r>
        <w:rPr>
          <w:i/>
          <w:iCs/>
          <w:sz w:val="20"/>
        </w:rPr>
        <w:t xml:space="preserve">PL changing threshold, refers to </w:t>
      </w:r>
      <w:r>
        <w:rPr>
          <w:rFonts w:hint="eastAsia"/>
          <w:i/>
          <w:iCs/>
          <w:sz w:val="20"/>
        </w:rPr>
        <w:t>dl-PathlossChange</w:t>
      </w:r>
      <w:r>
        <w:rPr>
          <w:rFonts w:hint="eastAsia"/>
          <w:sz w:val="20"/>
        </w:rPr>
        <w:t xml:space="preserve"> </w:t>
      </w:r>
      <w:proofErr w:type="gramStart"/>
      <w:r>
        <w:rPr>
          <w:rFonts w:hint="eastAsia"/>
          <w:sz w:val="20"/>
        </w:rPr>
        <w:t>similar to</w:t>
      </w:r>
      <w:proofErr w:type="gramEnd"/>
      <w:r>
        <w:rPr>
          <w:rFonts w:hint="eastAsia"/>
          <w:sz w:val="20"/>
        </w:rPr>
        <w:t xml:space="preserve"> LTE</w:t>
      </w:r>
    </w:p>
    <w:p w14:paraId="4E9E9A8B" w14:textId="77777777" w:rsidR="00893205" w:rsidRDefault="00BA2EFD">
      <w:pPr>
        <w:pStyle w:val="a0"/>
        <w:numPr>
          <w:ilvl w:val="0"/>
          <w:numId w:val="5"/>
        </w:numPr>
        <w:snapToGrid w:val="0"/>
        <w:spacing w:beforeLines="50" w:before="180" w:line="240" w:lineRule="auto"/>
        <w:rPr>
          <w:sz w:val="20"/>
        </w:rPr>
      </w:pPr>
      <w:r>
        <w:rPr>
          <w:rFonts w:hint="eastAsia"/>
          <w:sz w:val="20"/>
        </w:rPr>
        <w:t xml:space="preserve">PHR process </w:t>
      </w:r>
      <w:r>
        <w:rPr>
          <w:sz w:val="20"/>
        </w:rPr>
        <w:t>indicator</w:t>
      </w:r>
      <w:r>
        <w:rPr>
          <w:rFonts w:hint="eastAsia"/>
          <w:sz w:val="20"/>
        </w:rPr>
        <w:t xml:space="preserve">, refers to PHR process ID and its </w:t>
      </w:r>
      <w:r>
        <w:rPr>
          <w:rFonts w:hint="eastAsia"/>
          <w:sz w:val="20"/>
        </w:rPr>
        <w:t xml:space="preserve">ULTxPara </w:t>
      </w:r>
      <w:r>
        <w:rPr>
          <w:rFonts w:hint="eastAsia"/>
          <w:sz w:val="20"/>
        </w:rPr>
        <w:t xml:space="preserve">set ID list. </w:t>
      </w:r>
    </w:p>
    <w:p w14:paraId="359BAE59" w14:textId="77777777" w:rsidR="00893205" w:rsidRDefault="00BA2EFD">
      <w:pPr>
        <w:snapToGrid w:val="0"/>
        <w:spacing w:beforeLines="50" w:before="180"/>
        <w:jc w:val="both"/>
        <w:rPr>
          <w:rFonts w:ascii="Times New Roman" w:hAnsi="Times New Roman"/>
          <w:sz w:val="20"/>
        </w:rPr>
      </w:pPr>
      <w:r>
        <w:rPr>
          <w:rFonts w:ascii="Times New Roman" w:hAnsi="Times New Roman" w:hint="eastAsia"/>
          <w:sz w:val="20"/>
        </w:rPr>
        <w:t xml:space="preserve">For the sake of analysis, it is assumed that one PHR process </w:t>
      </w:r>
      <w:r>
        <w:rPr>
          <w:rFonts w:ascii="Times New Roman" w:hAnsi="Times New Roman"/>
          <w:sz w:val="20"/>
        </w:rPr>
        <w:t>indicator</w:t>
      </w:r>
      <w:r>
        <w:rPr>
          <w:rFonts w:ascii="Times New Roman" w:hAnsi="Times New Roman" w:hint="eastAsia"/>
          <w:sz w:val="20"/>
        </w:rPr>
        <w:t xml:space="preserve"> contains two PHR processes as shown in Figure 1. The first one includes </w:t>
      </w:r>
      <w:r>
        <w:rPr>
          <w:rFonts w:ascii="Times New Roman" w:hAnsi="Times New Roman" w:hint="eastAsia"/>
          <w:sz w:val="20"/>
        </w:rPr>
        <w:t xml:space="preserve">ULTxPara </w:t>
      </w:r>
      <w:r>
        <w:rPr>
          <w:rFonts w:ascii="Times New Roman" w:hAnsi="Times New Roman" w:hint="eastAsia"/>
          <w:sz w:val="20"/>
        </w:rPr>
        <w:t xml:space="preserve">set ID #1, and the second one includes </w:t>
      </w:r>
      <w:r>
        <w:rPr>
          <w:rFonts w:ascii="Times New Roman" w:hAnsi="Times New Roman" w:hint="eastAsia"/>
          <w:sz w:val="20"/>
        </w:rPr>
        <w:t xml:space="preserve">ULTxPara </w:t>
      </w:r>
      <w:r>
        <w:rPr>
          <w:rFonts w:ascii="Times New Roman" w:hAnsi="Times New Roman" w:hint="eastAsia"/>
          <w:sz w:val="20"/>
        </w:rPr>
        <w:t xml:space="preserve">set ID #3 + #4, so UE maintains PHR process for </w:t>
      </w:r>
      <w:proofErr w:type="gramStart"/>
      <w:r>
        <w:rPr>
          <w:rFonts w:ascii="Times New Roman" w:hAnsi="Times New Roman" w:hint="eastAsia"/>
          <w:sz w:val="20"/>
        </w:rPr>
        <w:t>both of them</w:t>
      </w:r>
      <w:proofErr w:type="gramEnd"/>
      <w:r>
        <w:rPr>
          <w:rFonts w:ascii="Times New Roman" w:hAnsi="Times New Roman" w:hint="eastAsia"/>
          <w:sz w:val="20"/>
        </w:rPr>
        <w:t xml:space="preserve">, monitors and updates the trigger parameters independently. </w:t>
      </w:r>
      <w:r>
        <w:rPr>
          <w:rFonts w:ascii="Times New Roman" w:hAnsi="Times New Roman" w:hint="eastAsia"/>
          <w:sz w:val="20"/>
        </w:rPr>
        <w:t>ULTxP</w:t>
      </w:r>
      <w:r>
        <w:rPr>
          <w:rFonts w:ascii="Times New Roman" w:hAnsi="Times New Roman" w:hint="eastAsia"/>
          <w:sz w:val="20"/>
        </w:rPr>
        <w:t xml:space="preserve">ara </w:t>
      </w:r>
      <w:r>
        <w:rPr>
          <w:rFonts w:ascii="Times New Roman" w:hAnsi="Times New Roman" w:hint="eastAsia"/>
          <w:sz w:val="20"/>
        </w:rPr>
        <w:t xml:space="preserve">set #3 + #4 means the relevant PHR process assumes there are two concurrent PC loops. </w:t>
      </w:r>
    </w:p>
    <w:p w14:paraId="307C5CBB" w14:textId="77777777" w:rsidR="00893205" w:rsidRDefault="00BA2EFD">
      <w:pPr>
        <w:pStyle w:val="a0"/>
        <w:snapToGrid w:val="0"/>
        <w:spacing w:beforeLines="50" w:before="180" w:line="240" w:lineRule="auto"/>
        <w:ind w:firstLine="0"/>
        <w:jc w:val="center"/>
      </w:pPr>
      <w:r>
        <w:object w:dxaOrig="5189" w:dyaOrig="3363" w14:anchorId="5D5E0125">
          <v:shape id="_x0000_i1031" type="#_x0000_t75" style="width:259.75pt;height:167.7pt" o:ole="">
            <v:imagedata r:id="rId16" o:title=""/>
          </v:shape>
          <o:OLEObject Type="Embed" ProgID="Visio.Drawing.11" ShapeID="_x0000_i1031" DrawAspect="Content" ObjectID="_1564060343" r:id="rId17"/>
        </w:object>
      </w:r>
    </w:p>
    <w:p w14:paraId="2DFE47F4" w14:textId="77777777" w:rsidR="00893205" w:rsidRDefault="00BA2EFD">
      <w:pPr>
        <w:pStyle w:val="a0"/>
        <w:snapToGrid w:val="0"/>
        <w:spacing w:beforeLines="50" w:before="180" w:line="240" w:lineRule="auto"/>
        <w:ind w:firstLine="0"/>
        <w:jc w:val="center"/>
        <w:rPr>
          <w:b/>
          <w:bCs/>
        </w:rPr>
      </w:pPr>
      <w:r>
        <w:rPr>
          <w:rFonts w:hint="eastAsia"/>
          <w:b/>
          <w:bCs/>
        </w:rPr>
        <w:lastRenderedPageBreak/>
        <w:t>Figure 1 PHR setting and process</w:t>
      </w:r>
    </w:p>
    <w:p w14:paraId="0F1B2333" w14:textId="77777777" w:rsidR="00893205" w:rsidRDefault="00BA2EFD">
      <w:pPr>
        <w:snapToGrid w:val="0"/>
        <w:spacing w:beforeLines="50" w:before="180"/>
        <w:jc w:val="both"/>
        <w:rPr>
          <w:rFonts w:ascii="Times New Roman" w:hAnsi="Times New Roman"/>
          <w:b/>
          <w:bCs/>
          <w:i/>
          <w:iCs/>
          <w:sz w:val="20"/>
        </w:rPr>
      </w:pPr>
      <w:r>
        <w:rPr>
          <w:rFonts w:ascii="Times New Roman" w:hAnsi="Times New Roman" w:hint="eastAsia"/>
          <w:b/>
          <w:bCs/>
          <w:i/>
          <w:iCs/>
          <w:sz w:val="20"/>
        </w:rPr>
        <w:t>PHR calculation:</w:t>
      </w:r>
    </w:p>
    <w:p w14:paraId="1F2220EA" w14:textId="77777777" w:rsidR="00893205" w:rsidRDefault="00BA2EFD">
      <w:pPr>
        <w:snapToGrid w:val="0"/>
        <w:spacing w:beforeLines="50" w:before="180"/>
        <w:jc w:val="both"/>
        <w:rPr>
          <w:rFonts w:ascii="Times New Roman" w:hAnsi="Times New Roman"/>
          <w:sz w:val="20"/>
        </w:rPr>
      </w:pPr>
      <w:r>
        <w:rPr>
          <w:rFonts w:ascii="Times New Roman" w:hAnsi="Times New Roman" w:hint="eastAsia"/>
          <w:sz w:val="20"/>
        </w:rPr>
        <w:t>Different from LTE, NR may have multiple beam pairs for UL transmission which means th</w:t>
      </w:r>
      <w:r>
        <w:rPr>
          <w:rFonts w:ascii="Times New Roman" w:hAnsi="Times New Roman" w:hint="eastAsia"/>
          <w:sz w:val="20"/>
        </w:rPr>
        <w:t xml:space="preserve">ere </w:t>
      </w:r>
      <w:r>
        <w:rPr>
          <w:rFonts w:ascii="Times New Roman" w:hAnsi="Times New Roman" w:hint="eastAsia"/>
          <w:sz w:val="20"/>
        </w:rPr>
        <w:t xml:space="preserve">might </w:t>
      </w:r>
      <w:r>
        <w:rPr>
          <w:rFonts w:ascii="Times New Roman" w:hAnsi="Times New Roman" w:hint="eastAsia"/>
          <w:sz w:val="20"/>
        </w:rPr>
        <w:t xml:space="preserve">be more than one BPL to be monitored. According to the above PC framework, PHR is reported per PHR process. If a PHR process includes more than one </w:t>
      </w:r>
      <w:r>
        <w:rPr>
          <w:rFonts w:ascii="Times New Roman" w:hAnsi="Times New Roman" w:hint="eastAsia"/>
          <w:sz w:val="20"/>
        </w:rPr>
        <w:t>ULTxPara</w:t>
      </w:r>
      <w:r>
        <w:rPr>
          <w:rFonts w:ascii="Times New Roman" w:hAnsi="Times New Roman" w:hint="eastAsia"/>
          <w:sz w:val="20"/>
        </w:rPr>
        <w:t xml:space="preserve"> set, the beam links of these </w:t>
      </w:r>
      <w:r>
        <w:rPr>
          <w:rFonts w:ascii="Times New Roman" w:hAnsi="Times New Roman" w:hint="eastAsia"/>
          <w:sz w:val="20"/>
        </w:rPr>
        <w:t xml:space="preserve">ULTxPara </w:t>
      </w:r>
      <w:r>
        <w:rPr>
          <w:rFonts w:ascii="Times New Roman" w:hAnsi="Times New Roman" w:hint="eastAsia"/>
          <w:sz w:val="20"/>
        </w:rPr>
        <w:t xml:space="preserve">sets are supposed to be used at the same time, PHR </w:t>
      </w:r>
      <w:r>
        <w:rPr>
          <w:rFonts w:ascii="Times New Roman" w:hAnsi="Times New Roman" w:hint="eastAsia"/>
          <w:sz w:val="20"/>
        </w:rPr>
        <w:t xml:space="preserve">for this </w:t>
      </w:r>
      <w:r>
        <w:rPr>
          <w:rFonts w:ascii="Times New Roman" w:hAnsi="Times New Roman" w:hint="eastAsia"/>
          <w:sz w:val="20"/>
        </w:rPr>
        <w:t xml:space="preserve">PHR </w:t>
      </w:r>
      <w:r>
        <w:rPr>
          <w:rFonts w:ascii="Times New Roman" w:hAnsi="Times New Roman" w:hint="eastAsia"/>
          <w:sz w:val="20"/>
        </w:rPr>
        <w:t>setting should reflect the headroom of the sum of all beam links</w:t>
      </w:r>
      <w:r>
        <w:rPr>
          <w:rFonts w:ascii="Times New Roman" w:hAnsi="Times New Roman"/>
          <w:sz w:val="20"/>
        </w:rPr>
        <w:t>’</w:t>
      </w:r>
      <w:r>
        <w:rPr>
          <w:rFonts w:ascii="Times New Roman" w:hAnsi="Times New Roman" w:hint="eastAsia"/>
          <w:sz w:val="20"/>
        </w:rPr>
        <w:t xml:space="preserve"> individual power. </w:t>
      </w:r>
    </w:p>
    <w:p w14:paraId="7B556C1F" w14:textId="77777777" w:rsidR="00893205" w:rsidRDefault="00BA2EFD">
      <w:pPr>
        <w:snapToGrid w:val="0"/>
        <w:spacing w:beforeLines="50" w:before="180"/>
        <w:jc w:val="both"/>
        <w:rPr>
          <w:rFonts w:ascii="Times New Roman" w:hAnsi="Times New Roman"/>
          <w:sz w:val="20"/>
        </w:rPr>
      </w:pPr>
      <w:r>
        <w:rPr>
          <w:rFonts w:ascii="Times New Roman" w:hAnsi="Times New Roman" w:hint="eastAsia"/>
          <w:sz w:val="20"/>
        </w:rPr>
        <w:t xml:space="preserve">For </w:t>
      </w:r>
      <w:r>
        <w:rPr>
          <w:rFonts w:ascii="Times New Roman" w:hAnsi="Times New Roman" w:hint="eastAsia"/>
          <w:sz w:val="20"/>
        </w:rPr>
        <w:t>instance</w:t>
      </w:r>
      <w:r>
        <w:rPr>
          <w:rFonts w:ascii="Times New Roman" w:hAnsi="Times New Roman" w:hint="eastAsia"/>
          <w:sz w:val="20"/>
        </w:rPr>
        <w:t>,</w:t>
      </w:r>
      <w:r>
        <w:rPr>
          <w:rFonts w:ascii="Times New Roman" w:hAnsi="Times New Roman" w:hint="eastAsia"/>
          <w:sz w:val="20"/>
        </w:rPr>
        <w:t xml:space="preserve"> </w:t>
      </w:r>
    </w:p>
    <w:p w14:paraId="1721ED88" w14:textId="77777777" w:rsidR="00893205" w:rsidRDefault="00BA2EFD">
      <w:pPr>
        <w:snapToGrid w:val="0"/>
        <w:spacing w:beforeLines="50" w:before="180"/>
        <w:ind w:leftChars="200" w:left="440"/>
        <w:jc w:val="both"/>
        <w:rPr>
          <w:rFonts w:ascii="Times New Roman" w:hAnsi="Times New Roman"/>
          <w:sz w:val="20"/>
        </w:rPr>
      </w:pPr>
      <w:r>
        <w:rPr>
          <w:rFonts w:ascii="Times New Roman" w:hAnsi="Times New Roman" w:hint="eastAsia"/>
          <w:sz w:val="20"/>
        </w:rPr>
        <w:t xml:space="preserve">For PHR process ID #2, there are two </w:t>
      </w:r>
      <w:r>
        <w:rPr>
          <w:rFonts w:ascii="Times New Roman" w:hAnsi="Times New Roman" w:hint="eastAsia"/>
          <w:sz w:val="20"/>
        </w:rPr>
        <w:t xml:space="preserve">ULTxPara </w:t>
      </w:r>
      <w:r>
        <w:rPr>
          <w:rFonts w:ascii="Times New Roman" w:hAnsi="Times New Roman" w:hint="eastAsia"/>
          <w:sz w:val="20"/>
        </w:rPr>
        <w:t xml:space="preserve">sets: </w:t>
      </w:r>
      <w:r>
        <w:rPr>
          <w:rFonts w:ascii="Times New Roman" w:hAnsi="Times New Roman" w:hint="eastAsia"/>
          <w:sz w:val="20"/>
        </w:rPr>
        <w:t xml:space="preserve">ULTxPara </w:t>
      </w:r>
      <w:r>
        <w:rPr>
          <w:rFonts w:ascii="Times New Roman" w:hAnsi="Times New Roman" w:hint="eastAsia"/>
          <w:sz w:val="20"/>
        </w:rPr>
        <w:t xml:space="preserve">set #3 and </w:t>
      </w:r>
      <w:r>
        <w:rPr>
          <w:rFonts w:ascii="Times New Roman" w:hAnsi="Times New Roman" w:hint="eastAsia"/>
          <w:sz w:val="20"/>
        </w:rPr>
        <w:t xml:space="preserve">ULTxPara </w:t>
      </w:r>
      <w:r>
        <w:rPr>
          <w:rFonts w:ascii="Times New Roman" w:hAnsi="Times New Roman" w:hint="eastAsia"/>
          <w:sz w:val="20"/>
        </w:rPr>
        <w:t>set #4, each has one TX beam, referred as TX beam 3 and TX bea</w:t>
      </w:r>
      <w:r>
        <w:rPr>
          <w:rFonts w:ascii="Times New Roman" w:hAnsi="Times New Roman" w:hint="eastAsia"/>
          <w:sz w:val="20"/>
        </w:rPr>
        <w:t xml:space="preserve">m 4 respectively. For </w:t>
      </w:r>
      <w:r>
        <w:rPr>
          <w:rFonts w:ascii="Times New Roman" w:hAnsi="Times New Roman" w:hint="eastAsia"/>
          <w:sz w:val="20"/>
        </w:rPr>
        <w:t>ULTxPara</w:t>
      </w:r>
      <w:r>
        <w:rPr>
          <w:rFonts w:ascii="Times New Roman" w:hAnsi="Times New Roman" w:hint="eastAsia"/>
          <w:sz w:val="20"/>
        </w:rPr>
        <w:t xml:space="preserve"> set #3, UE calculates the power of TX beam #3 is marked as P1, and for </w:t>
      </w:r>
      <w:r>
        <w:rPr>
          <w:rFonts w:ascii="Times New Roman" w:hAnsi="Times New Roman" w:hint="eastAsia"/>
          <w:sz w:val="20"/>
        </w:rPr>
        <w:t xml:space="preserve">ULTxPara </w:t>
      </w:r>
      <w:r>
        <w:rPr>
          <w:rFonts w:ascii="Times New Roman" w:hAnsi="Times New Roman" w:hint="eastAsia"/>
          <w:sz w:val="20"/>
        </w:rPr>
        <w:t>set #4, UE calculates the power of TX beam #4 is marked as P2, the PHR for PHR process ID #2 should be:</w:t>
      </w:r>
    </w:p>
    <w:p w14:paraId="0BA22F16" w14:textId="77777777" w:rsidR="00893205" w:rsidRDefault="00BA2EFD">
      <w:pPr>
        <w:snapToGrid w:val="0"/>
        <w:spacing w:beforeLines="50" w:before="180"/>
        <w:ind w:leftChars="200" w:left="440"/>
        <w:jc w:val="center"/>
        <w:rPr>
          <w:rFonts w:ascii="Times New Roman" w:hAnsi="Times New Roman"/>
          <w:sz w:val="20"/>
        </w:rPr>
      </w:pPr>
      <w:r>
        <w:rPr>
          <w:rFonts w:ascii="Times New Roman" w:hAnsi="Times New Roman" w:hint="eastAsia"/>
          <w:sz w:val="20"/>
        </w:rPr>
        <w:t>PHR = P</w:t>
      </w:r>
      <w:r>
        <w:rPr>
          <w:rFonts w:ascii="Times New Roman" w:hAnsi="Times New Roman"/>
          <w:sz w:val="20"/>
          <w:vertAlign w:val="subscript"/>
        </w:rPr>
        <w:t>CMAX</w:t>
      </w:r>
      <w:r>
        <w:rPr>
          <w:rFonts w:ascii="Times New Roman" w:hAnsi="Times New Roman" w:hint="eastAsia"/>
          <w:sz w:val="20"/>
        </w:rPr>
        <w:t xml:space="preserve"> - (P1 + P2)</w:t>
      </w:r>
    </w:p>
    <w:p w14:paraId="67F506B4" w14:textId="77777777" w:rsidR="00893205" w:rsidRDefault="00BA2EFD">
      <w:pPr>
        <w:snapToGrid w:val="0"/>
        <w:spacing w:beforeLines="50" w:before="180"/>
        <w:ind w:leftChars="200" w:left="440"/>
        <w:jc w:val="both"/>
        <w:rPr>
          <w:rFonts w:ascii="Times New Roman" w:hAnsi="Times New Roman"/>
          <w:sz w:val="20"/>
        </w:rPr>
      </w:pPr>
      <w:r>
        <w:rPr>
          <w:rFonts w:ascii="Times New Roman" w:hAnsi="Times New Roman" w:hint="eastAsia"/>
          <w:sz w:val="20"/>
        </w:rPr>
        <w:t>Where P</w:t>
      </w:r>
      <w:r>
        <w:rPr>
          <w:rFonts w:ascii="Times New Roman" w:hAnsi="Times New Roman"/>
          <w:sz w:val="20"/>
          <w:vertAlign w:val="subscript"/>
        </w:rPr>
        <w:t>CMAX</w:t>
      </w:r>
      <w:r>
        <w:rPr>
          <w:rFonts w:ascii="Times New Roman" w:hAnsi="Times New Roman" w:hint="eastAsia"/>
          <w:sz w:val="20"/>
        </w:rPr>
        <w:t xml:space="preserve"> is the UE</w:t>
      </w:r>
      <w:r>
        <w:rPr>
          <w:rFonts w:ascii="Times New Roman" w:hAnsi="Times New Roman"/>
          <w:sz w:val="20"/>
        </w:rPr>
        <w:t>’</w:t>
      </w:r>
      <w:r>
        <w:rPr>
          <w:rFonts w:ascii="Times New Roman" w:hAnsi="Times New Roman" w:hint="eastAsia"/>
          <w:sz w:val="20"/>
        </w:rPr>
        <w:t>s maximum transmit power.</w:t>
      </w:r>
    </w:p>
    <w:p w14:paraId="3E0F0B92" w14:textId="77777777" w:rsidR="00893205" w:rsidRDefault="00BA2EFD">
      <w:pPr>
        <w:snapToGrid w:val="0"/>
        <w:spacing w:beforeLines="50" w:before="180"/>
        <w:jc w:val="both"/>
        <w:rPr>
          <w:rFonts w:ascii="Times New Roman" w:hAnsi="Times New Roman"/>
          <w:b/>
          <w:bCs/>
          <w:i/>
          <w:iCs/>
          <w:sz w:val="20"/>
        </w:rPr>
      </w:pPr>
      <w:r>
        <w:rPr>
          <w:rFonts w:ascii="Times New Roman" w:hAnsi="Times New Roman" w:hint="eastAsia"/>
          <w:b/>
          <w:bCs/>
          <w:i/>
          <w:iCs/>
          <w:sz w:val="20"/>
        </w:rPr>
        <w:t>Trigger condition:</w:t>
      </w:r>
    </w:p>
    <w:p w14:paraId="623BB442" w14:textId="77777777" w:rsidR="00893205" w:rsidRDefault="00BA2EFD">
      <w:pPr>
        <w:snapToGrid w:val="0"/>
        <w:spacing w:beforeLines="50" w:before="180"/>
        <w:jc w:val="both"/>
        <w:rPr>
          <w:rFonts w:ascii="Times New Roman" w:hAnsi="Times New Roman"/>
          <w:sz w:val="20"/>
        </w:rPr>
      </w:pPr>
      <w:r>
        <w:rPr>
          <w:rFonts w:ascii="Times New Roman" w:hAnsi="Times New Roman" w:hint="eastAsia"/>
          <w:sz w:val="20"/>
        </w:rPr>
        <w:t xml:space="preserve">In LTE, RRC controls Power Headroom reporting by configuring the two timers </w:t>
      </w:r>
      <w:r>
        <w:rPr>
          <w:rFonts w:ascii="Times New Roman" w:hAnsi="Times New Roman" w:hint="eastAsia"/>
          <w:i/>
          <w:iCs/>
          <w:sz w:val="20"/>
        </w:rPr>
        <w:t>periodicPHR-Timer</w:t>
      </w:r>
      <w:r>
        <w:rPr>
          <w:rFonts w:ascii="Times New Roman" w:hAnsi="Times New Roman" w:hint="eastAsia"/>
          <w:sz w:val="20"/>
        </w:rPr>
        <w:t xml:space="preserve"> and </w:t>
      </w:r>
      <w:r>
        <w:rPr>
          <w:rFonts w:ascii="Times New Roman" w:hAnsi="Times New Roman" w:hint="eastAsia"/>
          <w:i/>
          <w:iCs/>
          <w:sz w:val="20"/>
        </w:rPr>
        <w:t>prohibitPHR-Timer</w:t>
      </w:r>
      <w:r>
        <w:rPr>
          <w:rFonts w:ascii="Times New Roman" w:hAnsi="Times New Roman" w:hint="eastAsia"/>
          <w:sz w:val="20"/>
        </w:rPr>
        <w:t xml:space="preserve">, and by signalling </w:t>
      </w:r>
      <w:r>
        <w:rPr>
          <w:rFonts w:ascii="Times New Roman" w:hAnsi="Times New Roman" w:hint="eastAsia"/>
          <w:i/>
          <w:iCs/>
          <w:sz w:val="20"/>
        </w:rPr>
        <w:t>dl-PathlossChange</w:t>
      </w:r>
      <w:r>
        <w:rPr>
          <w:rFonts w:ascii="Times New Roman" w:hAnsi="Times New Roman" w:hint="eastAsia"/>
          <w:sz w:val="20"/>
        </w:rPr>
        <w:t xml:space="preserve"> which sets the change in measured downlink path</w:t>
      </w:r>
      <w:r>
        <w:rPr>
          <w:rFonts w:ascii="Times New Roman" w:hAnsi="Times New Roman" w:hint="eastAsia"/>
          <w:sz w:val="20"/>
        </w:rPr>
        <w:t xml:space="preserve">loss and the required power backoff due to power management. And there are some events specified as PHR trigger conditions. One condition is </w:t>
      </w:r>
      <w:r>
        <w:rPr>
          <w:rFonts w:ascii="Times New Roman" w:hAnsi="Times New Roman" w:hint="eastAsia"/>
          <w:i/>
          <w:iCs/>
          <w:sz w:val="20"/>
        </w:rPr>
        <w:t>prohibitPHR-Timer</w:t>
      </w:r>
      <w:r>
        <w:rPr>
          <w:rFonts w:ascii="Times New Roman" w:hAnsi="Times New Roman" w:hint="eastAsia"/>
          <w:sz w:val="20"/>
        </w:rPr>
        <w:t xml:space="preserve"> expires or has expired and the path loss has changed more than </w:t>
      </w:r>
      <w:r>
        <w:rPr>
          <w:rFonts w:ascii="Times New Roman" w:hAnsi="Times New Roman" w:hint="eastAsia"/>
          <w:i/>
          <w:iCs/>
          <w:sz w:val="20"/>
        </w:rPr>
        <w:t>dl-PathlossChange</w:t>
      </w:r>
      <w:r>
        <w:rPr>
          <w:rFonts w:ascii="Times New Roman" w:hAnsi="Times New Roman" w:hint="eastAsia"/>
          <w:sz w:val="20"/>
        </w:rPr>
        <w:t xml:space="preserve"> dB since the las</w:t>
      </w:r>
      <w:r>
        <w:rPr>
          <w:rFonts w:ascii="Times New Roman" w:hAnsi="Times New Roman" w:hint="eastAsia"/>
          <w:sz w:val="20"/>
        </w:rPr>
        <w:t>t transmission of a PHR in this MAC entity when the MAC entity has UL resources for new transmission.</w:t>
      </w:r>
    </w:p>
    <w:p w14:paraId="277F281D" w14:textId="77777777" w:rsidR="00893205" w:rsidRDefault="00BA2EFD">
      <w:pPr>
        <w:snapToGrid w:val="0"/>
        <w:spacing w:beforeLines="50" w:before="180"/>
        <w:jc w:val="both"/>
        <w:rPr>
          <w:rFonts w:ascii="Times New Roman" w:hAnsi="Times New Roman"/>
          <w:sz w:val="20"/>
        </w:rPr>
      </w:pPr>
      <w:r>
        <w:rPr>
          <w:rFonts w:ascii="Times New Roman" w:hAnsi="Times New Roman" w:hint="eastAsia"/>
          <w:sz w:val="20"/>
        </w:rPr>
        <w:t>Considering multiple TX beams transmission in NR, there may be more than one BPL to be monitored. How to implement the PL changing condition for such case</w:t>
      </w:r>
      <w:r>
        <w:rPr>
          <w:rFonts w:ascii="Times New Roman" w:hAnsi="Times New Roman" w:hint="eastAsia"/>
          <w:sz w:val="20"/>
        </w:rPr>
        <w:t xml:space="preserve"> is a problem. Since PHR is associated with the sum power of all beam pair links, PL changing should be evaluated in the same way which means PL changing should reflect the sum of all beam pair links</w:t>
      </w:r>
      <w:r>
        <w:rPr>
          <w:rFonts w:ascii="Times New Roman" w:hAnsi="Times New Roman"/>
          <w:sz w:val="20"/>
        </w:rPr>
        <w:t>’</w:t>
      </w:r>
      <w:r>
        <w:rPr>
          <w:rFonts w:ascii="Times New Roman" w:hAnsi="Times New Roman" w:hint="eastAsia"/>
          <w:sz w:val="20"/>
        </w:rPr>
        <w:t xml:space="preserve"> PL changing. </w:t>
      </w:r>
    </w:p>
    <w:p w14:paraId="543295BC" w14:textId="77777777" w:rsidR="00893205" w:rsidRDefault="00BA2EFD">
      <w:pPr>
        <w:snapToGrid w:val="0"/>
        <w:spacing w:beforeLines="50" w:before="180"/>
        <w:jc w:val="both"/>
        <w:rPr>
          <w:rFonts w:ascii="Times New Roman" w:hAnsi="Times New Roman"/>
          <w:sz w:val="20"/>
        </w:rPr>
      </w:pPr>
      <w:r>
        <w:rPr>
          <w:rFonts w:ascii="Times New Roman" w:hAnsi="Times New Roman" w:hint="eastAsia"/>
          <w:sz w:val="20"/>
        </w:rPr>
        <w:t xml:space="preserve">For instance, </w:t>
      </w:r>
    </w:p>
    <w:p w14:paraId="33A725CA" w14:textId="77777777" w:rsidR="00893205" w:rsidRDefault="00BA2EFD">
      <w:pPr>
        <w:snapToGrid w:val="0"/>
        <w:spacing w:beforeLines="50" w:before="180"/>
        <w:ind w:leftChars="200" w:left="440"/>
        <w:jc w:val="both"/>
        <w:rPr>
          <w:rFonts w:ascii="Times New Roman" w:hAnsi="Times New Roman"/>
          <w:sz w:val="20"/>
        </w:rPr>
      </w:pPr>
      <w:r>
        <w:rPr>
          <w:rFonts w:ascii="Times New Roman" w:hAnsi="Times New Roman" w:hint="eastAsia"/>
          <w:sz w:val="20"/>
        </w:rPr>
        <w:t>assuming</w:t>
      </w:r>
      <w:r>
        <w:rPr>
          <w:rFonts w:ascii="Times New Roman" w:hAnsi="Times New Roman" w:hint="eastAsia"/>
          <w:sz w:val="20"/>
        </w:rPr>
        <w:t xml:space="preserve"> PHR process ID #2</w:t>
      </w:r>
      <w:r>
        <w:rPr>
          <w:rFonts w:ascii="Times New Roman" w:hAnsi="Times New Roman" w:hint="eastAsia"/>
          <w:sz w:val="20"/>
        </w:rPr>
        <w:t xml:space="preserve"> includes</w:t>
      </w:r>
      <w:r>
        <w:rPr>
          <w:rFonts w:ascii="Times New Roman" w:hAnsi="Times New Roman" w:hint="eastAsia"/>
          <w:sz w:val="20"/>
        </w:rPr>
        <w:t xml:space="preserve"> two </w:t>
      </w:r>
      <w:r>
        <w:rPr>
          <w:rFonts w:ascii="Times New Roman" w:hAnsi="Times New Roman" w:hint="eastAsia"/>
          <w:sz w:val="20"/>
        </w:rPr>
        <w:t>ULTxPara</w:t>
      </w:r>
      <w:r>
        <w:rPr>
          <w:rFonts w:ascii="Times New Roman" w:hAnsi="Times New Roman" w:hint="eastAsia"/>
          <w:sz w:val="20"/>
        </w:rPr>
        <w:t xml:space="preserve"> sets: </w:t>
      </w:r>
      <w:r>
        <w:rPr>
          <w:rFonts w:ascii="Times New Roman" w:hAnsi="Times New Roman" w:hint="eastAsia"/>
          <w:sz w:val="20"/>
        </w:rPr>
        <w:t xml:space="preserve">ULTxPara </w:t>
      </w:r>
      <w:r>
        <w:rPr>
          <w:rFonts w:ascii="Times New Roman" w:hAnsi="Times New Roman" w:hint="eastAsia"/>
          <w:sz w:val="20"/>
        </w:rPr>
        <w:t xml:space="preserve">set #3 and </w:t>
      </w:r>
      <w:r>
        <w:rPr>
          <w:rFonts w:ascii="Times New Roman" w:hAnsi="Times New Roman" w:hint="eastAsia"/>
          <w:sz w:val="20"/>
        </w:rPr>
        <w:t>ULTxPara</w:t>
      </w:r>
      <w:r>
        <w:rPr>
          <w:rFonts w:ascii="Times New Roman" w:hAnsi="Times New Roman" w:hint="eastAsia"/>
          <w:sz w:val="20"/>
        </w:rPr>
        <w:t xml:space="preserve"> set #4, each has one TX beam, referred as TX beam 3 and TX beam 4 respectively. Assuming the last PHR for </w:t>
      </w:r>
      <w:bookmarkStart w:id="6" w:name="OLE_LINK3"/>
      <w:r>
        <w:rPr>
          <w:rFonts w:ascii="Times New Roman" w:hAnsi="Times New Roman" w:hint="eastAsia"/>
          <w:sz w:val="20"/>
        </w:rPr>
        <w:t>PHR process ID</w:t>
      </w:r>
      <w:bookmarkEnd w:id="6"/>
      <w:r>
        <w:rPr>
          <w:rFonts w:ascii="Times New Roman" w:hAnsi="Times New Roman" w:hint="eastAsia"/>
          <w:sz w:val="20"/>
        </w:rPr>
        <w:t xml:space="preserve"> #2 was sent at time t0, PL for TX beam #3 is marked as PL1(t0), PL for TX bea</w:t>
      </w:r>
      <w:r>
        <w:rPr>
          <w:rFonts w:ascii="Times New Roman" w:hAnsi="Times New Roman" w:hint="eastAsia"/>
          <w:sz w:val="20"/>
        </w:rPr>
        <w:t xml:space="preserve">m #4 is marked as PL2(t0), at time t1, PL for TX beam #3 and #4 is marked as PL1(t1) and PL2(t1) respectively. </w:t>
      </w:r>
    </w:p>
    <w:p w14:paraId="2E617DB7" w14:textId="77777777" w:rsidR="00893205" w:rsidRDefault="00BA2EFD">
      <w:pPr>
        <w:snapToGrid w:val="0"/>
        <w:spacing w:beforeLines="50" w:before="180"/>
        <w:ind w:leftChars="200" w:left="440"/>
        <w:jc w:val="both"/>
        <w:rPr>
          <w:rFonts w:ascii="Times New Roman" w:hAnsi="Times New Roman"/>
          <w:sz w:val="20"/>
        </w:rPr>
      </w:pPr>
      <w:r>
        <w:rPr>
          <w:rFonts w:ascii="Times New Roman" w:hAnsi="Times New Roman" w:hint="eastAsia"/>
          <w:sz w:val="20"/>
        </w:rPr>
        <w:t>The PL changing condition should be estimated as:</w:t>
      </w:r>
    </w:p>
    <w:p w14:paraId="6D20AC52" w14:textId="77777777" w:rsidR="00893205" w:rsidRDefault="00BA2EFD">
      <w:pPr>
        <w:snapToGrid w:val="0"/>
        <w:spacing w:beforeLines="50" w:before="180"/>
        <w:ind w:leftChars="200" w:left="440"/>
        <w:jc w:val="center"/>
        <w:rPr>
          <w:rFonts w:ascii="Times New Roman" w:hAnsi="Times New Roman"/>
          <w:sz w:val="20"/>
        </w:rPr>
      </w:pPr>
      <w:r>
        <w:rPr>
          <w:rFonts w:ascii="Times New Roman" w:hAnsi="Times New Roman" w:hint="eastAsia"/>
          <w:sz w:val="20"/>
        </w:rPr>
        <w:t xml:space="preserve">(PL1(t1) - PL1(t0)) + (PL2(t1) - PL2(t0)) &gt;= </w:t>
      </w:r>
      <w:r>
        <w:rPr>
          <w:rFonts w:ascii="Times New Roman" w:hAnsi="Times New Roman" w:hint="eastAsia"/>
          <w:i/>
          <w:iCs/>
          <w:sz w:val="20"/>
        </w:rPr>
        <w:t>PathlossChange</w:t>
      </w:r>
    </w:p>
    <w:p w14:paraId="197FB3A3" w14:textId="77777777" w:rsidR="00893205" w:rsidRDefault="00BA2EFD">
      <w:pPr>
        <w:snapToGrid w:val="0"/>
        <w:spacing w:beforeLines="50" w:before="180"/>
        <w:ind w:leftChars="200" w:left="440"/>
        <w:jc w:val="both"/>
        <w:rPr>
          <w:rFonts w:ascii="Times New Roman" w:eastAsia="宋体" w:hAnsi="Times New Roman"/>
          <w:i/>
          <w:sz w:val="20"/>
        </w:rPr>
      </w:pPr>
      <w:r>
        <w:rPr>
          <w:rFonts w:ascii="Times New Roman" w:hAnsi="Times New Roman" w:hint="eastAsia"/>
          <w:sz w:val="20"/>
        </w:rPr>
        <w:t xml:space="preserve">If the condition is satisfied, UE </w:t>
      </w:r>
      <w:r>
        <w:rPr>
          <w:rFonts w:ascii="Times New Roman" w:hAnsi="Times New Roman" w:hint="eastAsia"/>
          <w:sz w:val="20"/>
        </w:rPr>
        <w:t xml:space="preserve">should check other companion conditions such as timers. </w:t>
      </w:r>
    </w:p>
    <w:p w14:paraId="531B32C7" w14:textId="77777777" w:rsidR="00893205" w:rsidRDefault="00BA2EFD">
      <w:pPr>
        <w:snapToGrid w:val="0"/>
        <w:spacing w:beforeLines="50" w:before="180"/>
        <w:jc w:val="both"/>
        <w:rPr>
          <w:rFonts w:ascii="Times New Roman" w:hAnsi="Times New Roman"/>
          <w:i/>
          <w:iCs/>
          <w:sz w:val="20"/>
        </w:rPr>
      </w:pPr>
      <w:r>
        <w:rPr>
          <w:rFonts w:ascii="Times New Roman" w:eastAsia="宋体" w:hAnsi="Times New Roman" w:hint="eastAsia"/>
          <w:b/>
          <w:i/>
          <w:sz w:val="20"/>
          <w:szCs w:val="20"/>
          <w:lang w:val="en-GB"/>
        </w:rPr>
        <w:t>Proposal 2</w:t>
      </w:r>
      <w:r>
        <w:rPr>
          <w:rFonts w:ascii="Times New Roman" w:eastAsia="宋体" w:hAnsi="Times New Roman"/>
          <w:b/>
          <w:i/>
          <w:sz w:val="20"/>
          <w:szCs w:val="20"/>
          <w:lang w:val="en-GB"/>
        </w:rPr>
        <w:t>:</w:t>
      </w:r>
      <w:r>
        <w:rPr>
          <w:rFonts w:ascii="Times New Roman" w:eastAsia="宋体" w:hAnsi="Times New Roman" w:hint="eastAsia"/>
          <w:b/>
          <w:i/>
          <w:sz w:val="20"/>
          <w:szCs w:val="20"/>
          <w:lang w:val="en-GB"/>
        </w:rPr>
        <w:t xml:space="preserve"> </w:t>
      </w:r>
      <w:r>
        <w:rPr>
          <w:rFonts w:ascii="Times New Roman" w:eastAsia="宋体" w:hAnsi="Times New Roman" w:hint="eastAsia"/>
          <w:bCs/>
          <w:i/>
          <w:sz w:val="20"/>
          <w:szCs w:val="20"/>
        </w:rPr>
        <w:t xml:space="preserve">for multiple TX beams transmission, PHR should </w:t>
      </w:r>
      <w:r>
        <w:rPr>
          <w:rFonts w:ascii="Times New Roman" w:hAnsi="Times New Roman" w:hint="eastAsia"/>
          <w:i/>
          <w:iCs/>
          <w:sz w:val="20"/>
        </w:rPr>
        <w:t>reflect the headroom of the sum of all beam pair links</w:t>
      </w:r>
      <w:r>
        <w:rPr>
          <w:rFonts w:ascii="Times New Roman" w:hAnsi="Times New Roman"/>
          <w:i/>
          <w:iCs/>
          <w:sz w:val="20"/>
        </w:rPr>
        <w:t>’</w:t>
      </w:r>
      <w:r>
        <w:rPr>
          <w:rFonts w:ascii="Times New Roman" w:hAnsi="Times New Roman" w:hint="eastAsia"/>
          <w:i/>
          <w:iCs/>
          <w:sz w:val="20"/>
        </w:rPr>
        <w:t xml:space="preserve"> individual power, the PHR trigger condition of PL changing should reflect the sum of all beam pair links</w:t>
      </w:r>
      <w:r>
        <w:rPr>
          <w:rFonts w:ascii="Times New Roman" w:hAnsi="Times New Roman"/>
          <w:i/>
          <w:iCs/>
          <w:sz w:val="20"/>
        </w:rPr>
        <w:t>’</w:t>
      </w:r>
      <w:r>
        <w:rPr>
          <w:rFonts w:ascii="Times New Roman" w:hAnsi="Times New Roman" w:hint="eastAsia"/>
          <w:i/>
          <w:iCs/>
          <w:sz w:val="20"/>
        </w:rPr>
        <w:t xml:space="preserve"> PL changing.</w:t>
      </w:r>
    </w:p>
    <w:p w14:paraId="5577EFD5" w14:textId="77777777" w:rsidR="00893205" w:rsidRDefault="00BA2EFD">
      <w:pPr>
        <w:pStyle w:val="Heading2"/>
        <w:widowControl w:val="0"/>
        <w:tabs>
          <w:tab w:val="left" w:pos="3686"/>
          <w:tab w:val="left" w:pos="4536"/>
        </w:tabs>
        <w:snapToGrid w:val="0"/>
        <w:spacing w:beforeLines="50" w:before="180" w:beforeAutospacing="0" w:afterAutospacing="0" w:line="240" w:lineRule="auto"/>
        <w:jc w:val="both"/>
        <w:rPr>
          <w:rFonts w:ascii="Arial Unicode MS" w:eastAsia="Arial Unicode MS" w:hAnsi="Arial Unicode MS" w:cs="Arial Unicode MS"/>
        </w:rPr>
      </w:pPr>
      <w:r>
        <w:rPr>
          <w:rFonts w:ascii="Arial Unicode MS" w:eastAsia="Arial Unicode MS" w:hAnsi="Arial Unicode MS" w:cs="Arial Unicode MS" w:hint="eastAsia"/>
        </w:rPr>
        <w:t xml:space="preserve">Virtual </w:t>
      </w:r>
      <w:r>
        <w:rPr>
          <w:rFonts w:ascii="Arial Unicode MS" w:eastAsia="Arial Unicode MS" w:hAnsi="Arial Unicode MS" w:cs="Arial Unicode MS" w:hint="eastAsia"/>
          <w:lang w:val="sv-SE"/>
        </w:rPr>
        <w:t>PHR</w:t>
      </w:r>
    </w:p>
    <w:p w14:paraId="75389BA9" w14:textId="77777777" w:rsidR="00893205" w:rsidRDefault="00BA2EFD">
      <w:pPr>
        <w:snapToGrid w:val="0"/>
        <w:spacing w:beforeLines="50" w:before="180"/>
        <w:jc w:val="both"/>
        <w:rPr>
          <w:rFonts w:ascii="Times New Roman" w:hAnsi="Times New Roman"/>
          <w:sz w:val="20"/>
          <w:szCs w:val="20"/>
        </w:rPr>
      </w:pPr>
      <w:r>
        <w:rPr>
          <w:rFonts w:ascii="Times New Roman" w:hAnsi="Times New Roman" w:hint="eastAsia"/>
          <w:sz w:val="20"/>
          <w:szCs w:val="20"/>
        </w:rPr>
        <w:t xml:space="preserve">In LTE, UE needs to calculate PHR when there is no real transmission, also </w:t>
      </w:r>
      <w:r>
        <w:rPr>
          <w:rFonts w:ascii="Times New Roman" w:hAnsi="Times New Roman"/>
          <w:sz w:val="20"/>
          <w:szCs w:val="20"/>
        </w:rPr>
        <w:t>referred</w:t>
      </w:r>
      <w:r>
        <w:rPr>
          <w:rFonts w:ascii="Times New Roman" w:hAnsi="Times New Roman" w:hint="eastAsia"/>
          <w:sz w:val="20"/>
          <w:szCs w:val="20"/>
        </w:rPr>
        <w:t xml:space="preserve"> as virtual PHR. In NR, things are more c</w:t>
      </w:r>
      <w:r>
        <w:rPr>
          <w:rFonts w:ascii="Times New Roman" w:hAnsi="Times New Roman" w:hint="eastAsia"/>
          <w:sz w:val="20"/>
          <w:szCs w:val="20"/>
        </w:rPr>
        <w:t>omplicated due to support of multi-beam, two waveforms.</w:t>
      </w:r>
    </w:p>
    <w:p w14:paraId="17B8A812" w14:textId="77777777" w:rsidR="00893205" w:rsidRDefault="00BA2EFD">
      <w:pPr>
        <w:numPr>
          <w:ilvl w:val="0"/>
          <w:numId w:val="6"/>
        </w:numPr>
        <w:snapToGrid w:val="0"/>
        <w:spacing w:beforeLines="50" w:before="180"/>
        <w:jc w:val="both"/>
        <w:rPr>
          <w:rFonts w:ascii="Times New Roman" w:hAnsi="Times New Roman"/>
          <w:sz w:val="20"/>
          <w:szCs w:val="20"/>
        </w:rPr>
      </w:pPr>
      <w:r>
        <w:rPr>
          <w:rFonts w:ascii="Times New Roman" w:hAnsi="Times New Roman" w:hint="eastAsia"/>
          <w:sz w:val="20"/>
          <w:szCs w:val="20"/>
        </w:rPr>
        <w:t xml:space="preserve">For multi-beam cases, both real PHR and virtual PHR assume the same beam pair links based on its relative </w:t>
      </w:r>
      <w:r>
        <w:rPr>
          <w:rFonts w:ascii="Times New Roman" w:hAnsi="Times New Roman" w:hint="eastAsia"/>
          <w:sz w:val="20"/>
        </w:rPr>
        <w:t>PHR process ID</w:t>
      </w:r>
      <w:r>
        <w:rPr>
          <w:rFonts w:ascii="Times New Roman" w:hAnsi="Times New Roman" w:hint="eastAsia"/>
          <w:sz w:val="20"/>
          <w:szCs w:val="20"/>
        </w:rPr>
        <w:t>, under the above PC framework.</w:t>
      </w:r>
    </w:p>
    <w:p w14:paraId="22146FD1" w14:textId="77777777" w:rsidR="00893205" w:rsidRDefault="00BA2EFD">
      <w:pPr>
        <w:numPr>
          <w:ilvl w:val="0"/>
          <w:numId w:val="6"/>
        </w:numPr>
        <w:snapToGrid w:val="0"/>
        <w:spacing w:beforeLines="50" w:before="180"/>
        <w:jc w:val="both"/>
        <w:rPr>
          <w:rFonts w:ascii="Times New Roman" w:hAnsi="Times New Roman"/>
          <w:sz w:val="20"/>
          <w:szCs w:val="20"/>
        </w:rPr>
      </w:pPr>
      <w:r>
        <w:rPr>
          <w:rFonts w:ascii="Times New Roman" w:hAnsi="Times New Roman" w:hint="eastAsia"/>
          <w:sz w:val="20"/>
          <w:szCs w:val="20"/>
        </w:rPr>
        <w:lastRenderedPageBreak/>
        <w:t>For two waveforms, as discussed above, no assump</w:t>
      </w:r>
      <w:r>
        <w:rPr>
          <w:rFonts w:ascii="Times New Roman" w:hAnsi="Times New Roman" w:hint="eastAsia"/>
          <w:sz w:val="20"/>
          <w:szCs w:val="20"/>
        </w:rPr>
        <w:t>tion is needed for two-PHR method, and options are listed for one-PHR method as follows.</w:t>
      </w:r>
    </w:p>
    <w:p w14:paraId="05125E06" w14:textId="77777777" w:rsidR="00893205" w:rsidRDefault="00BA2EFD">
      <w:pPr>
        <w:pStyle w:val="1"/>
        <w:numPr>
          <w:ilvl w:val="0"/>
          <w:numId w:val="7"/>
        </w:numPr>
        <w:snapToGrid w:val="0"/>
        <w:spacing w:beforeLines="50" w:before="180"/>
        <w:ind w:leftChars="200" w:left="440" w:firstLine="400"/>
        <w:rPr>
          <w:sz w:val="20"/>
          <w:szCs w:val="20"/>
        </w:rPr>
      </w:pPr>
      <w:r>
        <w:rPr>
          <w:rFonts w:hint="eastAsia"/>
          <w:sz w:val="20"/>
          <w:szCs w:val="20"/>
        </w:rPr>
        <w:t xml:space="preserve">Option 1: </w:t>
      </w:r>
      <w:r>
        <w:rPr>
          <w:sz w:val="20"/>
          <w:szCs w:val="20"/>
        </w:rPr>
        <w:t>B</w:t>
      </w:r>
      <w:r>
        <w:rPr>
          <w:rFonts w:hint="eastAsia"/>
          <w:sz w:val="20"/>
          <w:szCs w:val="20"/>
        </w:rPr>
        <w:t>ased on default waveform</w:t>
      </w:r>
    </w:p>
    <w:p w14:paraId="2CADCF64" w14:textId="77777777" w:rsidR="00893205" w:rsidRDefault="00BA2EFD">
      <w:pPr>
        <w:snapToGrid w:val="0"/>
        <w:spacing w:beforeLines="50" w:before="180"/>
        <w:ind w:leftChars="200" w:left="440"/>
        <w:jc w:val="both"/>
        <w:rPr>
          <w:rFonts w:ascii="Times New Roman" w:hAnsi="Times New Roman"/>
          <w:sz w:val="20"/>
          <w:szCs w:val="20"/>
        </w:rPr>
      </w:pPr>
      <w:r>
        <w:rPr>
          <w:rFonts w:ascii="Times New Roman" w:hAnsi="Times New Roman"/>
          <w:sz w:val="20"/>
          <w:szCs w:val="20"/>
        </w:rPr>
        <w:t>I</w:t>
      </w:r>
      <w:r>
        <w:rPr>
          <w:rFonts w:ascii="Times New Roman" w:hAnsi="Times New Roman" w:hint="eastAsia"/>
          <w:sz w:val="20"/>
          <w:szCs w:val="20"/>
        </w:rPr>
        <w:t xml:space="preserve">f UE is configured with a default waveform for virtual PHR report, the virtual PHR should be calculated with </w:t>
      </w:r>
      <w:r>
        <w:rPr>
          <w:rFonts w:ascii="Times New Roman" w:hAnsi="Times New Roman"/>
          <w:sz w:val="20"/>
          <w:szCs w:val="20"/>
        </w:rPr>
        <w:t>assumption</w:t>
      </w:r>
      <w:r>
        <w:rPr>
          <w:rFonts w:ascii="Times New Roman" w:hAnsi="Times New Roman" w:hint="eastAsia"/>
          <w:sz w:val="20"/>
          <w:szCs w:val="20"/>
        </w:rPr>
        <w:t xml:space="preserve"> of this de</w:t>
      </w:r>
      <w:r>
        <w:rPr>
          <w:rFonts w:ascii="Times New Roman" w:hAnsi="Times New Roman" w:hint="eastAsia"/>
          <w:sz w:val="20"/>
          <w:szCs w:val="20"/>
        </w:rPr>
        <w:t xml:space="preserve">fault waveform. </w:t>
      </w:r>
      <w:r>
        <w:rPr>
          <w:rFonts w:ascii="Times New Roman" w:hAnsi="Times New Roman"/>
          <w:sz w:val="20"/>
          <w:szCs w:val="20"/>
        </w:rPr>
        <w:t>F</w:t>
      </w:r>
      <w:r>
        <w:rPr>
          <w:rFonts w:ascii="Times New Roman" w:hAnsi="Times New Roman" w:hint="eastAsia"/>
          <w:sz w:val="20"/>
          <w:szCs w:val="20"/>
        </w:rPr>
        <w:t xml:space="preserve">or instance, DFT-S-OFDM could </w:t>
      </w:r>
      <w:proofErr w:type="gramStart"/>
      <w:r>
        <w:rPr>
          <w:rFonts w:ascii="Times New Roman" w:hAnsi="Times New Roman" w:hint="eastAsia"/>
          <w:sz w:val="20"/>
          <w:szCs w:val="20"/>
        </w:rPr>
        <w:t>be seen as</w:t>
      </w:r>
      <w:proofErr w:type="gramEnd"/>
      <w:r>
        <w:rPr>
          <w:rFonts w:ascii="Times New Roman" w:hAnsi="Times New Roman" w:hint="eastAsia"/>
          <w:sz w:val="20"/>
          <w:szCs w:val="20"/>
        </w:rPr>
        <w:t xml:space="preserve"> a default waveform for the sake of robust. </w:t>
      </w:r>
    </w:p>
    <w:p w14:paraId="22FA068C" w14:textId="77777777" w:rsidR="00893205" w:rsidRDefault="00BA2EFD">
      <w:pPr>
        <w:pStyle w:val="1"/>
        <w:numPr>
          <w:ilvl w:val="0"/>
          <w:numId w:val="7"/>
        </w:numPr>
        <w:snapToGrid w:val="0"/>
        <w:spacing w:beforeLines="50" w:before="180"/>
        <w:ind w:leftChars="200" w:left="440" w:firstLine="400"/>
        <w:rPr>
          <w:sz w:val="20"/>
          <w:szCs w:val="20"/>
        </w:rPr>
      </w:pPr>
      <w:r>
        <w:rPr>
          <w:rFonts w:hint="eastAsia"/>
          <w:sz w:val="20"/>
          <w:szCs w:val="20"/>
        </w:rPr>
        <w:t xml:space="preserve">Option 2: </w:t>
      </w:r>
      <w:r>
        <w:rPr>
          <w:sz w:val="20"/>
          <w:szCs w:val="20"/>
        </w:rPr>
        <w:t>B</w:t>
      </w:r>
      <w:r>
        <w:rPr>
          <w:rFonts w:hint="eastAsia"/>
          <w:sz w:val="20"/>
          <w:szCs w:val="20"/>
        </w:rPr>
        <w:t xml:space="preserve">ased on the waveform of the </w:t>
      </w:r>
      <w:r>
        <w:rPr>
          <w:sz w:val="20"/>
          <w:szCs w:val="20"/>
        </w:rPr>
        <w:t>previous</w:t>
      </w:r>
      <w:r>
        <w:rPr>
          <w:rFonts w:hint="eastAsia"/>
          <w:sz w:val="20"/>
          <w:szCs w:val="20"/>
        </w:rPr>
        <w:t xml:space="preserve"> transmission </w:t>
      </w:r>
    </w:p>
    <w:p w14:paraId="6CD9ECD1" w14:textId="77777777" w:rsidR="00893205" w:rsidRDefault="00BA2EFD">
      <w:pPr>
        <w:snapToGrid w:val="0"/>
        <w:spacing w:beforeLines="50" w:before="180"/>
        <w:ind w:leftChars="200" w:left="440"/>
        <w:jc w:val="both"/>
        <w:rPr>
          <w:rFonts w:ascii="Times New Roman" w:hAnsi="Times New Roman"/>
          <w:sz w:val="20"/>
          <w:szCs w:val="20"/>
        </w:rPr>
      </w:pPr>
      <w:r>
        <w:rPr>
          <w:rFonts w:ascii="Times New Roman" w:hAnsi="Times New Roman"/>
          <w:sz w:val="20"/>
          <w:szCs w:val="20"/>
        </w:rPr>
        <w:t xml:space="preserve">UE tends to keep its waveform </w:t>
      </w:r>
      <w:r>
        <w:rPr>
          <w:rFonts w:ascii="Times New Roman" w:hAnsi="Times New Roman" w:hint="eastAsia"/>
          <w:sz w:val="20"/>
          <w:szCs w:val="20"/>
        </w:rPr>
        <w:t xml:space="preserve">for a long period, unless special event triggers to change to another. </w:t>
      </w:r>
      <w:proofErr w:type="gramStart"/>
      <w:r>
        <w:rPr>
          <w:rFonts w:ascii="Times New Roman" w:hAnsi="Times New Roman"/>
          <w:sz w:val="20"/>
          <w:szCs w:val="20"/>
        </w:rPr>
        <w:t>A</w:t>
      </w:r>
      <w:r>
        <w:rPr>
          <w:rFonts w:ascii="Times New Roman" w:hAnsi="Times New Roman" w:hint="eastAsia"/>
          <w:sz w:val="20"/>
          <w:szCs w:val="20"/>
        </w:rPr>
        <w:t>s long as</w:t>
      </w:r>
      <w:proofErr w:type="gramEnd"/>
      <w:r>
        <w:rPr>
          <w:rFonts w:ascii="Times New Roman" w:hAnsi="Times New Roman" w:hint="eastAsia"/>
          <w:sz w:val="20"/>
          <w:szCs w:val="20"/>
        </w:rPr>
        <w:t xml:space="preserve"> both gNB and UE assume the same waveform at the same time, there is no ambiguity. </w:t>
      </w:r>
    </w:p>
    <w:p w14:paraId="7F5F0475" w14:textId="77777777" w:rsidR="00893205" w:rsidRDefault="00893205">
      <w:pPr>
        <w:snapToGrid w:val="0"/>
        <w:spacing w:beforeLines="50" w:before="180"/>
        <w:jc w:val="both"/>
        <w:rPr>
          <w:rFonts w:ascii="Times New Roman" w:hAnsi="Times New Roman"/>
          <w:i/>
          <w:iCs/>
          <w:sz w:val="20"/>
        </w:rPr>
      </w:pPr>
    </w:p>
    <w:p w14:paraId="7B3B0A7D" w14:textId="77777777" w:rsidR="00893205" w:rsidRDefault="00BA2EFD">
      <w:pPr>
        <w:pStyle w:val="Heading1"/>
        <w:keepNext/>
        <w:tabs>
          <w:tab w:val="left" w:pos="3686"/>
          <w:tab w:val="left" w:pos="4536"/>
        </w:tabs>
        <w:autoSpaceDE/>
        <w:autoSpaceDN/>
        <w:snapToGrid w:val="0"/>
        <w:spacing w:beforeLines="50" w:before="180" w:beforeAutospacing="0" w:afterAutospacing="0" w:line="240" w:lineRule="auto"/>
        <w:textAlignment w:val="baseline"/>
        <w:rPr>
          <w:rFonts w:ascii="Arial Unicode MS" w:eastAsia="Arial Unicode MS" w:hAnsi="Arial Unicode MS" w:cs="Arial Unicode MS"/>
          <w:sz w:val="28"/>
          <w:szCs w:val="28"/>
        </w:rPr>
      </w:pPr>
      <w:r>
        <w:rPr>
          <w:rFonts w:ascii="Arial Unicode MS" w:eastAsia="Arial Unicode MS" w:hAnsi="Arial Unicode MS" w:cs="Arial Unicode MS"/>
          <w:sz w:val="28"/>
          <w:szCs w:val="28"/>
        </w:rPr>
        <w:t>Conclusion</w:t>
      </w:r>
    </w:p>
    <w:p w14:paraId="230E65B5" w14:textId="77777777" w:rsidR="00893205" w:rsidRDefault="00BA2EFD">
      <w:pPr>
        <w:snapToGrid w:val="0"/>
        <w:spacing w:beforeLines="50" w:before="180"/>
        <w:jc w:val="both"/>
        <w:rPr>
          <w:rFonts w:ascii="Times New Roman" w:eastAsia="宋体" w:hAnsi="Times New Roman"/>
          <w:sz w:val="20"/>
        </w:rPr>
      </w:pPr>
      <w:r>
        <w:rPr>
          <w:rFonts w:ascii="Times New Roman" w:eastAsia="宋体" w:hAnsi="Times New Roman" w:hint="eastAsia"/>
          <w:sz w:val="20"/>
        </w:rPr>
        <w:t xml:space="preserve">From the above discussion, we have the following </w:t>
      </w:r>
      <w:r>
        <w:rPr>
          <w:rFonts w:ascii="Times New Roman" w:eastAsia="宋体" w:hAnsi="Times New Roman" w:hint="eastAsia"/>
          <w:sz w:val="20"/>
        </w:rPr>
        <w:t xml:space="preserve">observation and </w:t>
      </w:r>
      <w:r>
        <w:rPr>
          <w:rFonts w:ascii="Times New Roman" w:eastAsia="宋体" w:hAnsi="Times New Roman" w:hint="eastAsia"/>
          <w:sz w:val="20"/>
        </w:rPr>
        <w:t>proposals:</w:t>
      </w:r>
    </w:p>
    <w:p w14:paraId="7A6093D0" w14:textId="77777777" w:rsidR="00893205" w:rsidRDefault="00BA2EFD">
      <w:pPr>
        <w:snapToGrid w:val="0"/>
        <w:spacing w:beforeLines="50" w:before="180"/>
        <w:jc w:val="both"/>
        <w:rPr>
          <w:rFonts w:ascii="Times New Roman" w:hAnsi="Times New Roman"/>
          <w:i/>
          <w:iCs/>
          <w:sz w:val="20"/>
          <w:szCs w:val="20"/>
        </w:rPr>
      </w:pPr>
      <w:r>
        <w:rPr>
          <w:rFonts w:ascii="Times New Roman" w:hAnsi="Times New Roman" w:hint="eastAsia"/>
          <w:b/>
          <w:i/>
          <w:sz w:val="20"/>
          <w:szCs w:val="20"/>
        </w:rPr>
        <w:t>Observation</w:t>
      </w:r>
      <w:r>
        <w:rPr>
          <w:rFonts w:ascii="Times New Roman" w:hAnsi="Times New Roman" w:hint="eastAsia"/>
          <w:b/>
          <w:bCs/>
          <w:i/>
          <w:iCs/>
          <w:sz w:val="20"/>
          <w:szCs w:val="20"/>
        </w:rPr>
        <w:t xml:space="preserve"> 1</w:t>
      </w:r>
      <w:r>
        <w:rPr>
          <w:rFonts w:ascii="Times New Roman" w:hAnsi="Times New Roman" w:hint="eastAsia"/>
          <w:b/>
          <w:i/>
          <w:iCs/>
          <w:sz w:val="20"/>
          <w:szCs w:val="20"/>
        </w:rPr>
        <w:t>:</w:t>
      </w:r>
      <w:r>
        <w:rPr>
          <w:rFonts w:ascii="Times New Roman" w:hAnsi="Times New Roman" w:hint="eastAsia"/>
          <w:i/>
          <w:iCs/>
          <w:sz w:val="20"/>
          <w:szCs w:val="20"/>
        </w:rPr>
        <w:t xml:space="preserve"> One PHR is reported on transmitted waveform by the method of power back off reflection for Pcmax, the PHR for </w:t>
      </w:r>
      <w:proofErr w:type="gramStart"/>
      <w:r>
        <w:rPr>
          <w:rFonts w:ascii="Times New Roman" w:hAnsi="Times New Roman" w:hint="eastAsia"/>
          <w:i/>
          <w:iCs/>
          <w:sz w:val="20"/>
          <w:szCs w:val="20"/>
        </w:rPr>
        <w:t>other</w:t>
      </w:r>
      <w:proofErr w:type="gramEnd"/>
      <w:r>
        <w:rPr>
          <w:rFonts w:ascii="Times New Roman" w:hAnsi="Times New Roman" w:hint="eastAsia"/>
          <w:i/>
          <w:iCs/>
          <w:sz w:val="20"/>
          <w:szCs w:val="20"/>
        </w:rPr>
        <w:t xml:space="preserve"> waveform can be inferred accordingly; but, two PHR for each waveform should be reported if supporting different MPR per wavef</w:t>
      </w:r>
      <w:r>
        <w:rPr>
          <w:rFonts w:ascii="Times New Roman" w:hAnsi="Times New Roman" w:hint="eastAsia"/>
          <w:i/>
          <w:iCs/>
          <w:sz w:val="20"/>
          <w:szCs w:val="20"/>
        </w:rPr>
        <w:t>orm.</w:t>
      </w:r>
    </w:p>
    <w:p w14:paraId="66138234" w14:textId="77777777" w:rsidR="00893205" w:rsidRDefault="00BA2EFD">
      <w:pPr>
        <w:snapToGrid w:val="0"/>
        <w:spacing w:beforeLines="50" w:before="180"/>
        <w:jc w:val="both"/>
        <w:rPr>
          <w:rFonts w:ascii="Times New Roman" w:eastAsia="宋体" w:hAnsi="Times New Roman"/>
          <w:b/>
          <w:i/>
          <w:sz w:val="20"/>
          <w:szCs w:val="20"/>
          <w:lang w:val="en-GB"/>
        </w:rPr>
      </w:pPr>
      <w:r>
        <w:rPr>
          <w:rFonts w:ascii="Times New Roman" w:eastAsia="宋体" w:hAnsi="Times New Roman" w:hint="eastAsia"/>
          <w:b/>
          <w:i/>
          <w:sz w:val="20"/>
          <w:szCs w:val="20"/>
          <w:lang w:val="en-GB"/>
        </w:rPr>
        <w:t>Proposal 1</w:t>
      </w:r>
      <w:r>
        <w:rPr>
          <w:rFonts w:ascii="Times New Roman" w:eastAsia="宋体" w:hAnsi="Times New Roman"/>
          <w:b/>
          <w:i/>
          <w:sz w:val="20"/>
          <w:szCs w:val="20"/>
          <w:lang w:val="en-GB"/>
        </w:rPr>
        <w:t>:</w:t>
      </w:r>
      <w:r>
        <w:rPr>
          <w:rFonts w:ascii="Times New Roman" w:eastAsia="宋体" w:hAnsi="Times New Roman" w:hint="eastAsia"/>
          <w:b/>
          <w:i/>
          <w:sz w:val="20"/>
          <w:szCs w:val="20"/>
          <w:lang w:val="en-GB"/>
        </w:rPr>
        <w:t xml:space="preserve"> </w:t>
      </w:r>
      <w:r>
        <w:rPr>
          <w:rFonts w:ascii="Times New Roman" w:eastAsia="宋体" w:hAnsi="Times New Roman" w:hint="eastAsia"/>
          <w:i/>
          <w:sz w:val="20"/>
          <w:szCs w:val="20"/>
          <w:lang w:val="en-GB"/>
        </w:rPr>
        <w:t xml:space="preserve">The maximum transmission power should be </w:t>
      </w:r>
      <w:r>
        <w:rPr>
          <w:rFonts w:ascii="Times New Roman" w:eastAsia="宋体" w:hAnsi="Times New Roman"/>
          <w:i/>
          <w:sz w:val="20"/>
          <w:szCs w:val="20"/>
          <w:lang w:val="en-GB"/>
        </w:rPr>
        <w:t>back off</w:t>
      </w:r>
      <w:r>
        <w:rPr>
          <w:rFonts w:ascii="Times New Roman" w:eastAsia="宋体" w:hAnsi="Times New Roman" w:hint="eastAsia"/>
          <w:i/>
          <w:sz w:val="20"/>
          <w:szCs w:val="20"/>
          <w:lang w:val="en-GB"/>
        </w:rPr>
        <w:t xml:space="preserve"> when CP-OFDM is applied to UE, </w:t>
      </w:r>
      <w:r>
        <w:rPr>
          <w:rFonts w:ascii="Times New Roman" w:eastAsia="宋体" w:hAnsi="Times New Roman" w:hint="eastAsia"/>
          <w:i/>
          <w:sz w:val="20"/>
          <w:szCs w:val="20"/>
        </w:rPr>
        <w:t xml:space="preserve">the power offset </w:t>
      </w:r>
      <w:r>
        <w:rPr>
          <w:rFonts w:ascii="Times New Roman" w:eastAsia="宋体" w:hAnsi="Times New Roman"/>
          <w:i/>
          <w:sz w:val="20"/>
          <w:szCs w:val="20"/>
          <w:lang w:val="en-GB"/>
        </w:rPr>
        <w:t>could</w:t>
      </w:r>
      <w:r>
        <w:rPr>
          <w:rFonts w:ascii="Times New Roman" w:eastAsia="宋体" w:hAnsi="Times New Roman" w:hint="eastAsia"/>
          <w:i/>
          <w:sz w:val="20"/>
          <w:szCs w:val="20"/>
          <w:lang w:val="en-GB"/>
        </w:rPr>
        <w:t xml:space="preserve"> be a specified value based on </w:t>
      </w:r>
      <w:r>
        <w:rPr>
          <w:rFonts w:ascii="Times New Roman" w:eastAsia="宋体" w:hAnsi="Times New Roman" w:hint="eastAsia"/>
          <w:i/>
          <w:sz w:val="20"/>
        </w:rPr>
        <w:t>the difference of CM</w:t>
      </w:r>
      <w:r>
        <w:rPr>
          <w:rFonts w:ascii="Times New Roman" w:eastAsia="宋体" w:hAnsi="Times New Roman" w:hint="eastAsia"/>
          <w:i/>
          <w:sz w:val="20"/>
          <w:szCs w:val="20"/>
          <w:lang w:val="en-GB"/>
        </w:rPr>
        <w:t xml:space="preserve"> between </w:t>
      </w:r>
      <w:r>
        <w:rPr>
          <w:rFonts w:ascii="Times New Roman" w:eastAsia="宋体" w:hAnsi="Times New Roman"/>
          <w:i/>
          <w:sz w:val="20"/>
        </w:rPr>
        <w:t>CP-OFDM and DFT-S-OFDM</w:t>
      </w:r>
      <w:r>
        <w:rPr>
          <w:rFonts w:ascii="Times New Roman" w:eastAsia="宋体" w:hAnsi="Times New Roman" w:hint="eastAsia"/>
          <w:i/>
          <w:sz w:val="20"/>
        </w:rPr>
        <w:t xml:space="preserve">. </w:t>
      </w:r>
    </w:p>
    <w:p w14:paraId="1576F79C" w14:textId="77777777" w:rsidR="00893205" w:rsidRDefault="00BA2EFD">
      <w:pPr>
        <w:snapToGrid w:val="0"/>
        <w:spacing w:beforeLines="50" w:before="180"/>
        <w:jc w:val="both"/>
        <w:rPr>
          <w:rFonts w:ascii="Times New Roman" w:hAnsi="Times New Roman"/>
          <w:i/>
          <w:iCs/>
          <w:sz w:val="20"/>
        </w:rPr>
      </w:pPr>
      <w:r>
        <w:rPr>
          <w:rFonts w:ascii="Times New Roman" w:eastAsia="宋体" w:hAnsi="Times New Roman" w:hint="eastAsia"/>
          <w:b/>
          <w:i/>
          <w:sz w:val="20"/>
          <w:szCs w:val="20"/>
          <w:lang w:val="en-GB"/>
        </w:rPr>
        <w:t>Proposal 2</w:t>
      </w:r>
      <w:r>
        <w:rPr>
          <w:rFonts w:ascii="Times New Roman" w:eastAsia="宋体" w:hAnsi="Times New Roman"/>
          <w:b/>
          <w:i/>
          <w:sz w:val="20"/>
          <w:szCs w:val="20"/>
          <w:lang w:val="en-GB"/>
        </w:rPr>
        <w:t>:</w:t>
      </w:r>
      <w:r>
        <w:rPr>
          <w:rFonts w:ascii="Times New Roman" w:eastAsia="宋体" w:hAnsi="Times New Roman" w:hint="eastAsia"/>
          <w:b/>
          <w:i/>
          <w:sz w:val="20"/>
          <w:szCs w:val="20"/>
          <w:lang w:val="en-GB"/>
        </w:rPr>
        <w:t xml:space="preserve"> </w:t>
      </w:r>
      <w:r>
        <w:rPr>
          <w:rFonts w:ascii="Times New Roman" w:eastAsia="宋体" w:hAnsi="Times New Roman" w:hint="eastAsia"/>
          <w:bCs/>
          <w:i/>
          <w:sz w:val="20"/>
          <w:szCs w:val="20"/>
        </w:rPr>
        <w:t xml:space="preserve">for multiple TX beams transmission, PHR should </w:t>
      </w:r>
      <w:r>
        <w:rPr>
          <w:rFonts w:ascii="Times New Roman" w:hAnsi="Times New Roman" w:hint="eastAsia"/>
          <w:i/>
          <w:iCs/>
          <w:sz w:val="20"/>
        </w:rPr>
        <w:t>reflect the headroom of the sum of all beam pair links</w:t>
      </w:r>
      <w:r>
        <w:rPr>
          <w:rFonts w:ascii="Times New Roman" w:hAnsi="Times New Roman"/>
          <w:i/>
          <w:iCs/>
          <w:sz w:val="20"/>
        </w:rPr>
        <w:t>’</w:t>
      </w:r>
      <w:r>
        <w:rPr>
          <w:rFonts w:ascii="Times New Roman" w:hAnsi="Times New Roman" w:hint="eastAsia"/>
          <w:i/>
          <w:iCs/>
          <w:sz w:val="20"/>
        </w:rPr>
        <w:t xml:space="preserve"> individual power, the PHR trigger condition of PL changing should reflect the sum of all beam pair links</w:t>
      </w:r>
      <w:r>
        <w:rPr>
          <w:rFonts w:ascii="Times New Roman" w:hAnsi="Times New Roman"/>
          <w:i/>
          <w:iCs/>
          <w:sz w:val="20"/>
        </w:rPr>
        <w:t>’</w:t>
      </w:r>
      <w:r>
        <w:rPr>
          <w:rFonts w:ascii="Times New Roman" w:hAnsi="Times New Roman" w:hint="eastAsia"/>
          <w:i/>
          <w:iCs/>
          <w:sz w:val="20"/>
        </w:rPr>
        <w:t xml:space="preserve"> PL changing.</w:t>
      </w:r>
    </w:p>
    <w:p w14:paraId="1005D2AC" w14:textId="77777777" w:rsidR="00893205" w:rsidRDefault="00893205">
      <w:pPr>
        <w:snapToGrid w:val="0"/>
        <w:spacing w:beforeLines="50" w:before="180"/>
        <w:jc w:val="both"/>
        <w:rPr>
          <w:rFonts w:ascii="Times New Roman" w:eastAsia="宋体" w:hAnsi="Times New Roman"/>
          <w:sz w:val="20"/>
          <w:lang w:val="en-GB"/>
        </w:rPr>
      </w:pPr>
    </w:p>
    <w:p w14:paraId="4A6FD066" w14:textId="77777777" w:rsidR="00893205" w:rsidRDefault="00BA2EFD">
      <w:pPr>
        <w:pStyle w:val="Heading1"/>
        <w:keepNext/>
        <w:tabs>
          <w:tab w:val="left" w:pos="3686"/>
          <w:tab w:val="left" w:pos="4536"/>
        </w:tabs>
        <w:autoSpaceDE/>
        <w:autoSpaceDN/>
        <w:snapToGrid w:val="0"/>
        <w:spacing w:beforeLines="50" w:before="180" w:beforeAutospacing="0" w:afterAutospacing="0" w:line="240" w:lineRule="auto"/>
        <w:textAlignment w:val="baseline"/>
        <w:rPr>
          <w:rFonts w:ascii="Arial Unicode MS" w:eastAsia="Arial Unicode MS" w:hAnsi="Arial Unicode MS" w:cs="Arial Unicode MS"/>
          <w:sz w:val="28"/>
          <w:szCs w:val="28"/>
        </w:rPr>
      </w:pPr>
      <w:r>
        <w:rPr>
          <w:rFonts w:ascii="Arial Unicode MS" w:eastAsia="Arial Unicode MS" w:hAnsi="Arial Unicode MS" w:cs="Arial Unicode MS" w:hint="eastAsia"/>
          <w:sz w:val="28"/>
          <w:szCs w:val="28"/>
        </w:rPr>
        <w:t>Reference</w:t>
      </w:r>
      <w:r>
        <w:rPr>
          <w:rFonts w:ascii="Arial Unicode MS" w:eastAsia="Arial Unicode MS" w:hAnsi="Arial Unicode MS" w:cs="Arial Unicode MS"/>
          <w:sz w:val="28"/>
          <w:szCs w:val="28"/>
        </w:rPr>
        <w:t>s</w:t>
      </w:r>
    </w:p>
    <w:p w14:paraId="3E9AB092" w14:textId="77777777" w:rsidR="00893205" w:rsidRDefault="00BA2EFD">
      <w:pPr>
        <w:snapToGrid w:val="0"/>
        <w:spacing w:beforeLines="50" w:before="180"/>
        <w:rPr>
          <w:rFonts w:ascii="Times New Roman" w:eastAsia="宋体" w:hAnsi="Times New Roman"/>
          <w:sz w:val="20"/>
          <w:szCs w:val="20"/>
          <w:lang w:val="en-GB"/>
        </w:rPr>
      </w:pPr>
      <w:bookmarkStart w:id="7" w:name="_Ref446506608"/>
      <w:bookmarkStart w:id="8" w:name="_Ref446511358"/>
      <w:bookmarkStart w:id="9" w:name="_Ref446507216"/>
      <w:bookmarkEnd w:id="7"/>
      <w:bookmarkEnd w:id="8"/>
      <w:bookmarkEnd w:id="9"/>
      <w:r>
        <w:rPr>
          <w:rFonts w:ascii="Times New Roman" w:eastAsia="宋体" w:hAnsi="Times New Roman" w:hint="eastAsia"/>
          <w:sz w:val="20"/>
          <w:szCs w:val="20"/>
          <w:lang w:val="en-GB"/>
        </w:rPr>
        <w:t>[1] Chairman</w:t>
      </w:r>
      <w:r>
        <w:rPr>
          <w:rFonts w:ascii="Times New Roman" w:eastAsia="宋体" w:hAnsi="Times New Roman"/>
          <w:sz w:val="20"/>
          <w:szCs w:val="20"/>
          <w:lang w:val="en-GB"/>
        </w:rPr>
        <w:t>’</w:t>
      </w:r>
      <w:r>
        <w:rPr>
          <w:rFonts w:ascii="Times New Roman" w:eastAsia="宋体" w:hAnsi="Times New Roman" w:hint="eastAsia"/>
          <w:sz w:val="20"/>
          <w:szCs w:val="20"/>
          <w:lang w:val="en-GB"/>
        </w:rPr>
        <w:t xml:space="preserve">s note, </w:t>
      </w:r>
      <w:r>
        <w:rPr>
          <w:rFonts w:ascii="Times New Roman" w:eastAsia="宋体" w:hAnsi="Times New Roman" w:hint="eastAsia"/>
          <w:sz w:val="20"/>
          <w:szCs w:val="20"/>
          <w:lang w:val="en-GB"/>
        </w:rPr>
        <w:t>3GPP RAN1#88bis</w:t>
      </w:r>
    </w:p>
    <w:p w14:paraId="4F74B0DF" w14:textId="77777777" w:rsidR="00893205" w:rsidRDefault="00BA2EFD">
      <w:pPr>
        <w:snapToGrid w:val="0"/>
        <w:spacing w:beforeLines="50" w:before="180"/>
        <w:rPr>
          <w:rFonts w:ascii="Times New Roman" w:eastAsia="宋体" w:hAnsi="Times New Roman"/>
          <w:sz w:val="20"/>
          <w:szCs w:val="20"/>
          <w:lang w:val="en-GB"/>
        </w:rPr>
      </w:pPr>
      <w:r>
        <w:rPr>
          <w:rFonts w:ascii="Times New Roman" w:eastAsia="宋体" w:hAnsi="Times New Roman" w:hint="eastAsia"/>
          <w:sz w:val="20"/>
          <w:szCs w:val="20"/>
          <w:lang w:val="en-GB"/>
        </w:rPr>
        <w:t xml:space="preserve">[2] </w:t>
      </w:r>
      <w:bookmarkStart w:id="10" w:name="OLE_LINK1"/>
      <w:r>
        <w:rPr>
          <w:rFonts w:ascii="Times New Roman" w:eastAsia="宋体" w:hAnsi="Times New Roman" w:hint="eastAsia"/>
          <w:sz w:val="20"/>
          <w:szCs w:val="20"/>
          <w:lang w:val="en-GB"/>
        </w:rPr>
        <w:t>Chairman</w:t>
      </w:r>
      <w:r>
        <w:rPr>
          <w:rFonts w:ascii="Times New Roman" w:eastAsia="宋体" w:hAnsi="Times New Roman"/>
          <w:sz w:val="20"/>
          <w:szCs w:val="20"/>
          <w:lang w:val="en-GB"/>
        </w:rPr>
        <w:t>’</w:t>
      </w:r>
      <w:r>
        <w:rPr>
          <w:rFonts w:ascii="Times New Roman" w:eastAsia="宋体" w:hAnsi="Times New Roman" w:hint="eastAsia"/>
          <w:sz w:val="20"/>
          <w:szCs w:val="20"/>
          <w:lang w:val="en-GB"/>
        </w:rPr>
        <w:t>s note, 3GPP RAN1#89</w:t>
      </w:r>
      <w:bookmarkEnd w:id="10"/>
    </w:p>
    <w:p w14:paraId="4AB24110" w14:textId="77777777" w:rsidR="00893205" w:rsidRDefault="00BA2EFD">
      <w:pPr>
        <w:snapToGrid w:val="0"/>
        <w:spacing w:beforeLines="50" w:before="180"/>
        <w:rPr>
          <w:rFonts w:ascii="Times New Roman" w:eastAsia="宋体" w:hAnsi="Times New Roman"/>
          <w:sz w:val="20"/>
          <w:szCs w:val="20"/>
          <w:lang w:val="en-GB"/>
        </w:rPr>
      </w:pPr>
      <w:r>
        <w:rPr>
          <w:rFonts w:ascii="Times New Roman" w:eastAsia="宋体" w:hAnsi="Times New Roman" w:hint="eastAsia"/>
          <w:sz w:val="20"/>
          <w:szCs w:val="20"/>
          <w:lang w:val="en-GB"/>
        </w:rPr>
        <w:t xml:space="preserve">[3] </w:t>
      </w:r>
      <w:r>
        <w:rPr>
          <w:rFonts w:ascii="Times New Roman" w:eastAsia="宋体" w:hAnsi="Times New Roman"/>
          <w:sz w:val="20"/>
          <w:szCs w:val="20"/>
          <w:lang w:val="en-GB"/>
        </w:rPr>
        <w:t>38802-e00</w:t>
      </w:r>
      <w:r>
        <w:rPr>
          <w:rFonts w:ascii="Times New Roman" w:eastAsia="宋体" w:hAnsi="Times New Roman" w:hint="eastAsia"/>
          <w:sz w:val="20"/>
          <w:szCs w:val="20"/>
          <w:lang w:val="en-GB"/>
        </w:rPr>
        <w:t xml:space="preserve"> </w:t>
      </w:r>
      <w:r>
        <w:rPr>
          <w:rFonts w:ascii="Times New Roman" w:eastAsia="宋体" w:hAnsi="Times New Roman"/>
          <w:sz w:val="20"/>
          <w:szCs w:val="20"/>
          <w:lang w:val="en-GB"/>
        </w:rPr>
        <w:t>Study on New Radio Access Technology</w:t>
      </w:r>
      <w:r>
        <w:rPr>
          <w:rFonts w:ascii="Times New Roman" w:eastAsia="宋体" w:hAnsi="Times New Roman" w:hint="eastAsia"/>
          <w:sz w:val="20"/>
          <w:szCs w:val="20"/>
          <w:lang w:val="en-GB"/>
        </w:rPr>
        <w:t xml:space="preserve"> </w:t>
      </w:r>
      <w:r>
        <w:rPr>
          <w:rFonts w:ascii="Times New Roman" w:eastAsia="宋体" w:hAnsi="Times New Roman"/>
          <w:sz w:val="20"/>
          <w:szCs w:val="20"/>
          <w:lang w:val="en-GB"/>
        </w:rPr>
        <w:t>Physical Layer Aspects</w:t>
      </w:r>
    </w:p>
    <w:p w14:paraId="3376EBCA" w14:textId="77777777" w:rsidR="00893205" w:rsidRDefault="00BA2EFD">
      <w:pPr>
        <w:snapToGrid w:val="0"/>
        <w:spacing w:beforeLines="50" w:before="180"/>
        <w:rPr>
          <w:rFonts w:ascii="Times New Roman" w:eastAsia="宋体" w:hAnsi="Times New Roman"/>
          <w:sz w:val="20"/>
          <w:szCs w:val="20"/>
          <w:lang w:val="en-GB"/>
        </w:rPr>
      </w:pPr>
      <w:bookmarkStart w:id="11" w:name="OLE_LINK2"/>
      <w:r>
        <w:rPr>
          <w:rFonts w:ascii="Times New Roman" w:eastAsia="宋体" w:hAnsi="Times New Roman" w:hint="eastAsia"/>
          <w:sz w:val="20"/>
          <w:szCs w:val="20"/>
        </w:rPr>
        <w:t xml:space="preserve">[4] </w:t>
      </w:r>
      <w:bookmarkEnd w:id="11"/>
      <w:r>
        <w:rPr>
          <w:rFonts w:ascii="Times New Roman" w:eastAsia="宋体" w:hAnsi="Times New Roman" w:hint="eastAsia"/>
          <w:sz w:val="20"/>
          <w:szCs w:val="20"/>
          <w:lang w:val="en-GB"/>
        </w:rPr>
        <w:t>Chairman's Notes RAN1_NRAH2</w:t>
      </w:r>
    </w:p>
    <w:p w14:paraId="74406A37" w14:textId="77777777" w:rsidR="00893205" w:rsidRDefault="00BA2EFD">
      <w:pPr>
        <w:snapToGrid w:val="0"/>
        <w:spacing w:beforeLines="50" w:before="180"/>
        <w:rPr>
          <w:rFonts w:ascii="Times New Roman" w:eastAsia="宋体" w:hAnsi="Times New Roman"/>
          <w:sz w:val="20"/>
          <w:szCs w:val="20"/>
        </w:rPr>
      </w:pPr>
      <w:r>
        <w:rPr>
          <w:rFonts w:ascii="Times New Roman" w:eastAsia="宋体" w:hAnsi="Times New Roman" w:hint="eastAsia"/>
          <w:sz w:val="20"/>
          <w:szCs w:val="20"/>
        </w:rPr>
        <w:t>[5] R1-1702312 On NR power control, ZTE Corporation</w:t>
      </w:r>
    </w:p>
    <w:p w14:paraId="6637A4E8" w14:textId="77777777" w:rsidR="00893205" w:rsidRDefault="00893205">
      <w:pPr>
        <w:snapToGrid w:val="0"/>
        <w:spacing w:beforeLines="50" w:before="180"/>
        <w:rPr>
          <w:lang w:val="en-GB"/>
        </w:rPr>
      </w:pPr>
    </w:p>
    <w:sectPr w:rsidR="00893205">
      <w:type w:val="continuous"/>
      <w:pgSz w:w="12240" w:h="15840"/>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黑体">
    <w:charset w:val="86"/>
    <w:family w:val="auto"/>
    <w:pitch w:val="variable"/>
    <w:sig w:usb0="800002BF" w:usb1="38CF7CFA" w:usb2="00000016" w:usb3="00000000" w:csb0="00040001"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Malgun Gothic">
    <w:panose1 w:val="020B0503020000020004"/>
    <w:charset w:val="81"/>
    <w:family w:val="auto"/>
    <w:pitch w:val="variable"/>
    <w:sig w:usb0="9000002F" w:usb1="29D77CFB" w:usb2="00000012" w:usb3="00000000" w:csb0="00080001" w:csb1="00000000"/>
  </w:font>
  <w:font w:name="Arial Unicode MS">
    <w:panose1 w:val="020B0604020202020204"/>
    <w:charset w:val="00"/>
    <w:family w:val="auto"/>
    <w:pitch w:val="variable"/>
    <w:sig w:usb0="F7FFAFFF" w:usb1="E9DFFFFF" w:usb2="0000003F" w:usb3="00000000" w:csb0="003F01FF" w:csb1="00000000"/>
  </w:font>
  <w:font w:name="Vrinda">
    <w:panose1 w:val="00000000000000000000"/>
    <w:charset w:val="01"/>
    <w:family w:val="roman"/>
    <w:notTrueType/>
    <w:pitch w:val="variable"/>
  </w:font>
  <w:font w:name="Symbol">
    <w:panose1 w:val="05050102010706020507"/>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4B120E"/>
    <w:multiLevelType w:val="multilevel"/>
    <w:tmpl w:val="064B120E"/>
    <w:lvl w:ilvl="0">
      <w:start w:val="1"/>
      <w:numFmt w:val="bullet"/>
      <w:lvlText w:val="•"/>
      <w:lvlJc w:val="left"/>
      <w:pPr>
        <w:tabs>
          <w:tab w:val="left" w:pos="720"/>
        </w:tabs>
        <w:ind w:left="720" w:hanging="360"/>
      </w:pPr>
      <w:rPr>
        <w:rFonts w:ascii="Arial" w:hAnsi="Arial" w:hint="default"/>
      </w:rPr>
    </w:lvl>
    <w:lvl w:ilvl="1">
      <w:start w:val="78"/>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nsid w:val="59886B77"/>
    <w:multiLevelType w:val="singleLevel"/>
    <w:tmpl w:val="59886B77"/>
    <w:lvl w:ilvl="0">
      <w:start w:val="1"/>
      <w:numFmt w:val="bullet"/>
      <w:lvlText w:val=""/>
      <w:lvlJc w:val="left"/>
      <w:pPr>
        <w:ind w:left="420" w:hanging="420"/>
      </w:pPr>
      <w:rPr>
        <w:rFonts w:ascii="Wingdings" w:hAnsi="Wingdings" w:hint="default"/>
      </w:rPr>
    </w:lvl>
  </w:abstractNum>
  <w:abstractNum w:abstractNumId="2">
    <w:nsid w:val="598960CE"/>
    <w:multiLevelType w:val="singleLevel"/>
    <w:tmpl w:val="598960CE"/>
    <w:lvl w:ilvl="0">
      <w:start w:val="1"/>
      <w:numFmt w:val="bullet"/>
      <w:lvlText w:val=""/>
      <w:lvlJc w:val="left"/>
      <w:pPr>
        <w:ind w:left="420" w:hanging="420"/>
      </w:pPr>
      <w:rPr>
        <w:rFonts w:ascii="Wingdings" w:hAnsi="Wingdings" w:hint="default"/>
      </w:rPr>
    </w:lvl>
  </w:abstractNum>
  <w:abstractNum w:abstractNumId="3">
    <w:nsid w:val="598960F2"/>
    <w:multiLevelType w:val="singleLevel"/>
    <w:tmpl w:val="598960F2"/>
    <w:lvl w:ilvl="0">
      <w:start w:val="1"/>
      <w:numFmt w:val="bullet"/>
      <w:lvlText w:val=""/>
      <w:lvlJc w:val="left"/>
      <w:pPr>
        <w:ind w:left="420" w:hanging="420"/>
      </w:pPr>
      <w:rPr>
        <w:rFonts w:ascii="Wingdings" w:hAnsi="Wingdings" w:hint="default"/>
      </w:rPr>
    </w:lvl>
  </w:abstractNum>
  <w:abstractNum w:abstractNumId="4">
    <w:nsid w:val="598DA29C"/>
    <w:multiLevelType w:val="singleLevel"/>
    <w:tmpl w:val="598DA29C"/>
    <w:lvl w:ilvl="0">
      <w:start w:val="1"/>
      <w:numFmt w:val="bullet"/>
      <w:lvlText w:val=""/>
      <w:lvlJc w:val="left"/>
      <w:pPr>
        <w:ind w:left="420" w:hanging="420"/>
      </w:pPr>
      <w:rPr>
        <w:rFonts w:ascii="Wingdings" w:hAnsi="Wingdings" w:hint="default"/>
      </w:rPr>
    </w:lvl>
  </w:abstractNum>
  <w:abstractNum w:abstractNumId="5">
    <w:nsid w:val="598E32C7"/>
    <w:multiLevelType w:val="singleLevel"/>
    <w:tmpl w:val="598E32C7"/>
    <w:lvl w:ilvl="0">
      <w:start w:val="1"/>
      <w:numFmt w:val="bullet"/>
      <w:lvlText w:val=""/>
      <w:lvlJc w:val="left"/>
      <w:pPr>
        <w:ind w:left="420" w:hanging="420"/>
      </w:pPr>
      <w:rPr>
        <w:rFonts w:ascii="Wingdings" w:hAnsi="Wingdings" w:hint="default"/>
      </w:rPr>
    </w:lvl>
  </w:abstractNum>
  <w:abstractNum w:abstractNumId="6">
    <w:nsid w:val="618869EA"/>
    <w:multiLevelType w:val="multilevel"/>
    <w:tmpl w:val="618869EA"/>
    <w:lvl w:ilvl="0">
      <w:start w:val="1"/>
      <w:numFmt w:val="decimal"/>
      <w:pStyle w:val="Heading1"/>
      <w:lvlText w:val="%1"/>
      <w:lvlJc w:val="left"/>
      <w:pPr>
        <w:tabs>
          <w:tab w:val="left" w:pos="432"/>
        </w:tabs>
        <w:ind w:left="432" w:hanging="432"/>
      </w:pPr>
      <w:rPr>
        <w:rFonts w:hint="eastAsia"/>
        <w:b/>
        <w:i w:val="0"/>
        <w:sz w:val="28"/>
      </w:rPr>
    </w:lvl>
    <w:lvl w:ilvl="1">
      <w:start w:val="1"/>
      <w:numFmt w:val="decimal"/>
      <w:pStyle w:val="Heading2"/>
      <w:lvlText w:val="%1.%2"/>
      <w:lvlJc w:val="left"/>
      <w:pPr>
        <w:tabs>
          <w:tab w:val="left" w:pos="576"/>
        </w:tabs>
        <w:ind w:left="576" w:hanging="576"/>
      </w:pPr>
      <w:rPr>
        <w:rFonts w:hint="eastAsia"/>
        <w:b/>
        <w:i w:val="0"/>
        <w:sz w:val="24"/>
      </w:rPr>
    </w:lvl>
    <w:lvl w:ilvl="2">
      <w:start w:val="1"/>
      <w:numFmt w:val="decimal"/>
      <w:pStyle w:val="Heading3"/>
      <w:lvlText w:val="%1.%2.%3"/>
      <w:lvlJc w:val="left"/>
      <w:pPr>
        <w:tabs>
          <w:tab w:val="left" w:pos="720"/>
        </w:tabs>
        <w:ind w:left="720" w:hanging="720"/>
      </w:pPr>
      <w:rPr>
        <w:rFonts w:hint="eastAsia"/>
        <w:b/>
        <w:i w:val="0"/>
        <w:sz w:val="21"/>
      </w:rPr>
    </w:lvl>
    <w:lvl w:ilvl="3">
      <w:start w:val="1"/>
      <w:numFmt w:val="decimal"/>
      <w:pStyle w:val="Heading4"/>
      <w:lvlText w:val="%1.%2.%3.%4"/>
      <w:lvlJc w:val="left"/>
      <w:pPr>
        <w:tabs>
          <w:tab w:val="left" w:pos="864"/>
        </w:tabs>
        <w:ind w:left="864" w:hanging="864"/>
      </w:pPr>
      <w:rPr>
        <w:rFonts w:hint="eastAsia"/>
        <w:b/>
        <w:i w:val="0"/>
        <w:sz w:val="21"/>
      </w:rPr>
    </w:lvl>
    <w:lvl w:ilvl="4">
      <w:start w:val="1"/>
      <w:numFmt w:val="decimal"/>
      <w:pStyle w:val="Heading5"/>
      <w:lvlText w:val="%1.%2.%3.%4.%5"/>
      <w:lvlJc w:val="left"/>
      <w:pPr>
        <w:tabs>
          <w:tab w:val="left" w:pos="1008"/>
        </w:tabs>
        <w:ind w:left="1008" w:hanging="1008"/>
      </w:pPr>
      <w:rPr>
        <w:rFonts w:hint="eastAsia"/>
        <w:b/>
        <w:i w:val="0"/>
        <w:sz w:val="21"/>
      </w:rPr>
    </w:lvl>
    <w:lvl w:ilvl="5">
      <w:start w:val="1"/>
      <w:numFmt w:val="decimal"/>
      <w:pStyle w:val="Heading6"/>
      <w:isLgl/>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num w:numId="1">
    <w:abstractNumId w:val="6"/>
  </w:num>
  <w:num w:numId="2">
    <w:abstractNumId w:val="0"/>
  </w:num>
  <w:num w:numId="3">
    <w:abstractNumId w:val="1"/>
  </w:num>
  <w:num w:numId="4">
    <w:abstractNumId w:val="4"/>
  </w:num>
  <w:num w:numId="5">
    <w:abstractNumId w:val="5"/>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proofState w:grammar="clean"/>
  <w:defaultTabStop w:val="720"/>
  <w:hyphenationZone w:val="425"/>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E7F"/>
    <w:rsid w:val="00000063"/>
    <w:rsid w:val="000003E5"/>
    <w:rsid w:val="00000715"/>
    <w:rsid w:val="000011D1"/>
    <w:rsid w:val="000013D2"/>
    <w:rsid w:val="000016ED"/>
    <w:rsid w:val="00001826"/>
    <w:rsid w:val="000018BC"/>
    <w:rsid w:val="00001CD2"/>
    <w:rsid w:val="00002071"/>
    <w:rsid w:val="00002307"/>
    <w:rsid w:val="00002747"/>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B7E"/>
    <w:rsid w:val="00010475"/>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CCC"/>
    <w:rsid w:val="00013CE8"/>
    <w:rsid w:val="00013EF4"/>
    <w:rsid w:val="00013F3D"/>
    <w:rsid w:val="000143CA"/>
    <w:rsid w:val="00014536"/>
    <w:rsid w:val="00014604"/>
    <w:rsid w:val="00014F4A"/>
    <w:rsid w:val="00015601"/>
    <w:rsid w:val="000161ED"/>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6F3"/>
    <w:rsid w:val="000269FC"/>
    <w:rsid w:val="00026B95"/>
    <w:rsid w:val="00026C59"/>
    <w:rsid w:val="00026F3A"/>
    <w:rsid w:val="00026FAF"/>
    <w:rsid w:val="00027016"/>
    <w:rsid w:val="000271B7"/>
    <w:rsid w:val="0002775E"/>
    <w:rsid w:val="00027CCB"/>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31E5"/>
    <w:rsid w:val="000332EA"/>
    <w:rsid w:val="00033454"/>
    <w:rsid w:val="000335D4"/>
    <w:rsid w:val="00033649"/>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C63"/>
    <w:rsid w:val="00036E8D"/>
    <w:rsid w:val="00036EFD"/>
    <w:rsid w:val="000372AE"/>
    <w:rsid w:val="00037488"/>
    <w:rsid w:val="00037626"/>
    <w:rsid w:val="00037D79"/>
    <w:rsid w:val="00037DFD"/>
    <w:rsid w:val="00037F4D"/>
    <w:rsid w:val="00040013"/>
    <w:rsid w:val="0004017C"/>
    <w:rsid w:val="000401B2"/>
    <w:rsid w:val="000402D7"/>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C0B"/>
    <w:rsid w:val="00044F8A"/>
    <w:rsid w:val="00044FF3"/>
    <w:rsid w:val="00045271"/>
    <w:rsid w:val="00045D77"/>
    <w:rsid w:val="00045E51"/>
    <w:rsid w:val="00045E98"/>
    <w:rsid w:val="00046382"/>
    <w:rsid w:val="00046921"/>
    <w:rsid w:val="00046DE8"/>
    <w:rsid w:val="00046E90"/>
    <w:rsid w:val="00046EFA"/>
    <w:rsid w:val="00046F7F"/>
    <w:rsid w:val="0004704F"/>
    <w:rsid w:val="00047274"/>
    <w:rsid w:val="00047363"/>
    <w:rsid w:val="00047533"/>
    <w:rsid w:val="00047854"/>
    <w:rsid w:val="00047BFF"/>
    <w:rsid w:val="00047C96"/>
    <w:rsid w:val="00047E55"/>
    <w:rsid w:val="0005024A"/>
    <w:rsid w:val="00051173"/>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5F7"/>
    <w:rsid w:val="00053845"/>
    <w:rsid w:val="00053B51"/>
    <w:rsid w:val="00053B5A"/>
    <w:rsid w:val="00053C10"/>
    <w:rsid w:val="00053D1C"/>
    <w:rsid w:val="00054087"/>
    <w:rsid w:val="000549B3"/>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241D"/>
    <w:rsid w:val="000624B4"/>
    <w:rsid w:val="00062642"/>
    <w:rsid w:val="00062822"/>
    <w:rsid w:val="0006284A"/>
    <w:rsid w:val="00062BEF"/>
    <w:rsid w:val="00062DBD"/>
    <w:rsid w:val="00063481"/>
    <w:rsid w:val="000637EB"/>
    <w:rsid w:val="00063836"/>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E0"/>
    <w:rsid w:val="00080F6B"/>
    <w:rsid w:val="00081335"/>
    <w:rsid w:val="00081434"/>
    <w:rsid w:val="00081867"/>
    <w:rsid w:val="000818BD"/>
    <w:rsid w:val="00081D05"/>
    <w:rsid w:val="00081F52"/>
    <w:rsid w:val="00082072"/>
    <w:rsid w:val="00082B44"/>
    <w:rsid w:val="00082C05"/>
    <w:rsid w:val="00082D7F"/>
    <w:rsid w:val="00082E4E"/>
    <w:rsid w:val="00083074"/>
    <w:rsid w:val="000830B1"/>
    <w:rsid w:val="0008320F"/>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0E68"/>
    <w:rsid w:val="00091243"/>
    <w:rsid w:val="00091473"/>
    <w:rsid w:val="00091643"/>
    <w:rsid w:val="00091B56"/>
    <w:rsid w:val="00091B58"/>
    <w:rsid w:val="00091CE9"/>
    <w:rsid w:val="00092167"/>
    <w:rsid w:val="000924E7"/>
    <w:rsid w:val="00092581"/>
    <w:rsid w:val="00092994"/>
    <w:rsid w:val="00092B19"/>
    <w:rsid w:val="00092D8B"/>
    <w:rsid w:val="000934B3"/>
    <w:rsid w:val="00093A8C"/>
    <w:rsid w:val="00093E4D"/>
    <w:rsid w:val="00093E86"/>
    <w:rsid w:val="00093F5D"/>
    <w:rsid w:val="000941D0"/>
    <w:rsid w:val="000941FB"/>
    <w:rsid w:val="0009435F"/>
    <w:rsid w:val="000945F6"/>
    <w:rsid w:val="00094702"/>
    <w:rsid w:val="00094955"/>
    <w:rsid w:val="00094F66"/>
    <w:rsid w:val="0009534B"/>
    <w:rsid w:val="000961DD"/>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9C"/>
    <w:rsid w:val="000A14DE"/>
    <w:rsid w:val="000A1619"/>
    <w:rsid w:val="000A17FC"/>
    <w:rsid w:val="000A18AD"/>
    <w:rsid w:val="000A1D48"/>
    <w:rsid w:val="000A23D8"/>
    <w:rsid w:val="000A2499"/>
    <w:rsid w:val="000A24F6"/>
    <w:rsid w:val="000A2C04"/>
    <w:rsid w:val="000A3204"/>
    <w:rsid w:val="000A3270"/>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74B7"/>
    <w:rsid w:val="000A7781"/>
    <w:rsid w:val="000A78CB"/>
    <w:rsid w:val="000A7AA5"/>
    <w:rsid w:val="000A7FC3"/>
    <w:rsid w:val="000B01BE"/>
    <w:rsid w:val="000B0608"/>
    <w:rsid w:val="000B0953"/>
    <w:rsid w:val="000B0C9A"/>
    <w:rsid w:val="000B10D9"/>
    <w:rsid w:val="000B15D1"/>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875"/>
    <w:rsid w:val="000B6AA3"/>
    <w:rsid w:val="000B6CCA"/>
    <w:rsid w:val="000B6E27"/>
    <w:rsid w:val="000B73EB"/>
    <w:rsid w:val="000B77F4"/>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992"/>
    <w:rsid w:val="000C1E90"/>
    <w:rsid w:val="000C1EA7"/>
    <w:rsid w:val="000C222D"/>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E60"/>
    <w:rsid w:val="000C6F96"/>
    <w:rsid w:val="000C78F5"/>
    <w:rsid w:val="000C7A0C"/>
    <w:rsid w:val="000C7AE4"/>
    <w:rsid w:val="000D0C2E"/>
    <w:rsid w:val="000D11A2"/>
    <w:rsid w:val="000D121B"/>
    <w:rsid w:val="000D1629"/>
    <w:rsid w:val="000D1708"/>
    <w:rsid w:val="000D1A6F"/>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3B1"/>
    <w:rsid w:val="000E6834"/>
    <w:rsid w:val="000E6BC5"/>
    <w:rsid w:val="000E6CF9"/>
    <w:rsid w:val="000E6DA0"/>
    <w:rsid w:val="000E6FED"/>
    <w:rsid w:val="000E7162"/>
    <w:rsid w:val="000E7450"/>
    <w:rsid w:val="000E77FC"/>
    <w:rsid w:val="000E7BF3"/>
    <w:rsid w:val="000E7C6C"/>
    <w:rsid w:val="000F0169"/>
    <w:rsid w:val="000F0705"/>
    <w:rsid w:val="000F09A8"/>
    <w:rsid w:val="000F0A65"/>
    <w:rsid w:val="000F0BFC"/>
    <w:rsid w:val="000F0C10"/>
    <w:rsid w:val="000F0DAF"/>
    <w:rsid w:val="000F138A"/>
    <w:rsid w:val="000F180F"/>
    <w:rsid w:val="000F1A7F"/>
    <w:rsid w:val="000F1AE8"/>
    <w:rsid w:val="000F1DD6"/>
    <w:rsid w:val="000F225C"/>
    <w:rsid w:val="000F23C6"/>
    <w:rsid w:val="000F271E"/>
    <w:rsid w:val="000F281A"/>
    <w:rsid w:val="000F2D04"/>
    <w:rsid w:val="000F3589"/>
    <w:rsid w:val="000F43B9"/>
    <w:rsid w:val="000F46E6"/>
    <w:rsid w:val="000F4AA2"/>
    <w:rsid w:val="000F4E7F"/>
    <w:rsid w:val="000F4FEC"/>
    <w:rsid w:val="000F5303"/>
    <w:rsid w:val="000F58AA"/>
    <w:rsid w:val="000F5A40"/>
    <w:rsid w:val="000F5B5D"/>
    <w:rsid w:val="000F5D1C"/>
    <w:rsid w:val="000F5D36"/>
    <w:rsid w:val="000F5F26"/>
    <w:rsid w:val="000F6112"/>
    <w:rsid w:val="000F6199"/>
    <w:rsid w:val="000F6F4A"/>
    <w:rsid w:val="000F6F63"/>
    <w:rsid w:val="000F7055"/>
    <w:rsid w:val="000F7565"/>
    <w:rsid w:val="000F7878"/>
    <w:rsid w:val="00100143"/>
    <w:rsid w:val="0010027C"/>
    <w:rsid w:val="0010036E"/>
    <w:rsid w:val="001004B2"/>
    <w:rsid w:val="0010068C"/>
    <w:rsid w:val="00100B26"/>
    <w:rsid w:val="00101041"/>
    <w:rsid w:val="001010E1"/>
    <w:rsid w:val="001010EF"/>
    <w:rsid w:val="001012F4"/>
    <w:rsid w:val="001013D8"/>
    <w:rsid w:val="001016D4"/>
    <w:rsid w:val="00101706"/>
    <w:rsid w:val="00101C8E"/>
    <w:rsid w:val="00101E79"/>
    <w:rsid w:val="0010229B"/>
    <w:rsid w:val="00102D0F"/>
    <w:rsid w:val="00102D2B"/>
    <w:rsid w:val="00102EEF"/>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7146"/>
    <w:rsid w:val="001171DC"/>
    <w:rsid w:val="00117471"/>
    <w:rsid w:val="001179D6"/>
    <w:rsid w:val="00117A7E"/>
    <w:rsid w:val="00117B5B"/>
    <w:rsid w:val="00117D53"/>
    <w:rsid w:val="00117D62"/>
    <w:rsid w:val="001201FC"/>
    <w:rsid w:val="00120314"/>
    <w:rsid w:val="001205BF"/>
    <w:rsid w:val="00120747"/>
    <w:rsid w:val="00120798"/>
    <w:rsid w:val="00120803"/>
    <w:rsid w:val="00120910"/>
    <w:rsid w:val="00120BE8"/>
    <w:rsid w:val="00120CE1"/>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5E2A"/>
    <w:rsid w:val="0012647A"/>
    <w:rsid w:val="001266BA"/>
    <w:rsid w:val="00127521"/>
    <w:rsid w:val="001275FF"/>
    <w:rsid w:val="00127654"/>
    <w:rsid w:val="0012784C"/>
    <w:rsid w:val="00127906"/>
    <w:rsid w:val="00127AB8"/>
    <w:rsid w:val="00127BEB"/>
    <w:rsid w:val="00127E85"/>
    <w:rsid w:val="0013051A"/>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818"/>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3EDB"/>
    <w:rsid w:val="00144384"/>
    <w:rsid w:val="00144606"/>
    <w:rsid w:val="00144662"/>
    <w:rsid w:val="00144F07"/>
    <w:rsid w:val="00145449"/>
    <w:rsid w:val="001455AD"/>
    <w:rsid w:val="0014596A"/>
    <w:rsid w:val="00145A0C"/>
    <w:rsid w:val="00145A5F"/>
    <w:rsid w:val="00145D1E"/>
    <w:rsid w:val="00145D53"/>
    <w:rsid w:val="00145EF6"/>
    <w:rsid w:val="001464E6"/>
    <w:rsid w:val="001464F0"/>
    <w:rsid w:val="00146A3E"/>
    <w:rsid w:val="00146DC9"/>
    <w:rsid w:val="00147542"/>
    <w:rsid w:val="00147653"/>
    <w:rsid w:val="001478A4"/>
    <w:rsid w:val="001478C0"/>
    <w:rsid w:val="00147AAB"/>
    <w:rsid w:val="00147D1C"/>
    <w:rsid w:val="00147E93"/>
    <w:rsid w:val="00150084"/>
    <w:rsid w:val="001505F9"/>
    <w:rsid w:val="00150842"/>
    <w:rsid w:val="00150ED9"/>
    <w:rsid w:val="00150F77"/>
    <w:rsid w:val="00150FC7"/>
    <w:rsid w:val="00151C96"/>
    <w:rsid w:val="00151E9B"/>
    <w:rsid w:val="001522BF"/>
    <w:rsid w:val="00152307"/>
    <w:rsid w:val="0015279E"/>
    <w:rsid w:val="00152AC8"/>
    <w:rsid w:val="00152DF5"/>
    <w:rsid w:val="00153112"/>
    <w:rsid w:val="00153363"/>
    <w:rsid w:val="00153774"/>
    <w:rsid w:val="00154568"/>
    <w:rsid w:val="001545E9"/>
    <w:rsid w:val="00154913"/>
    <w:rsid w:val="00154CC4"/>
    <w:rsid w:val="00154D9C"/>
    <w:rsid w:val="00154E83"/>
    <w:rsid w:val="0015525E"/>
    <w:rsid w:val="001553BC"/>
    <w:rsid w:val="00155887"/>
    <w:rsid w:val="00155ACC"/>
    <w:rsid w:val="0015646F"/>
    <w:rsid w:val="00156607"/>
    <w:rsid w:val="00156A5E"/>
    <w:rsid w:val="00156B0C"/>
    <w:rsid w:val="00156DF4"/>
    <w:rsid w:val="0015722A"/>
    <w:rsid w:val="00157434"/>
    <w:rsid w:val="001575FE"/>
    <w:rsid w:val="0015784A"/>
    <w:rsid w:val="00157997"/>
    <w:rsid w:val="00157B62"/>
    <w:rsid w:val="001602BF"/>
    <w:rsid w:val="001606D6"/>
    <w:rsid w:val="0016078A"/>
    <w:rsid w:val="001607B8"/>
    <w:rsid w:val="00160D6E"/>
    <w:rsid w:val="0016128E"/>
    <w:rsid w:val="00161520"/>
    <w:rsid w:val="001618C5"/>
    <w:rsid w:val="00161D9B"/>
    <w:rsid w:val="00161F55"/>
    <w:rsid w:val="00162050"/>
    <w:rsid w:val="001631A0"/>
    <w:rsid w:val="00163633"/>
    <w:rsid w:val="00163658"/>
    <w:rsid w:val="00163D86"/>
    <w:rsid w:val="00163E62"/>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E49"/>
    <w:rsid w:val="00166EFA"/>
    <w:rsid w:val="0016798D"/>
    <w:rsid w:val="00167DC6"/>
    <w:rsid w:val="00167DD8"/>
    <w:rsid w:val="00167EBA"/>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CA"/>
    <w:rsid w:val="00172C9C"/>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C67"/>
    <w:rsid w:val="00176D05"/>
    <w:rsid w:val="0017730A"/>
    <w:rsid w:val="001773F2"/>
    <w:rsid w:val="00177D21"/>
    <w:rsid w:val="001804B6"/>
    <w:rsid w:val="001805EF"/>
    <w:rsid w:val="001807CB"/>
    <w:rsid w:val="001807D6"/>
    <w:rsid w:val="00180917"/>
    <w:rsid w:val="00181316"/>
    <w:rsid w:val="001813E0"/>
    <w:rsid w:val="00181721"/>
    <w:rsid w:val="001819B6"/>
    <w:rsid w:val="001819E6"/>
    <w:rsid w:val="00181A75"/>
    <w:rsid w:val="00181EA9"/>
    <w:rsid w:val="00182129"/>
    <w:rsid w:val="00182190"/>
    <w:rsid w:val="001824EC"/>
    <w:rsid w:val="00182560"/>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2FBC"/>
    <w:rsid w:val="00193040"/>
    <w:rsid w:val="0019330C"/>
    <w:rsid w:val="00194813"/>
    <w:rsid w:val="00194D22"/>
    <w:rsid w:val="00194F70"/>
    <w:rsid w:val="0019508B"/>
    <w:rsid w:val="001956BB"/>
    <w:rsid w:val="00195AC9"/>
    <w:rsid w:val="00195F55"/>
    <w:rsid w:val="00196639"/>
    <w:rsid w:val="0019675D"/>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6053"/>
    <w:rsid w:val="001A60E3"/>
    <w:rsid w:val="001A6509"/>
    <w:rsid w:val="001A69B1"/>
    <w:rsid w:val="001A6FFD"/>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331"/>
    <w:rsid w:val="001B6F5C"/>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95C"/>
    <w:rsid w:val="001C3AC5"/>
    <w:rsid w:val="001C3BF0"/>
    <w:rsid w:val="001C403F"/>
    <w:rsid w:val="001C4064"/>
    <w:rsid w:val="001C4597"/>
    <w:rsid w:val="001C4ABB"/>
    <w:rsid w:val="001C4B19"/>
    <w:rsid w:val="001C4F71"/>
    <w:rsid w:val="001C5282"/>
    <w:rsid w:val="001C5467"/>
    <w:rsid w:val="001C5974"/>
    <w:rsid w:val="001C5A65"/>
    <w:rsid w:val="001C5F4D"/>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1EB"/>
    <w:rsid w:val="001D45FF"/>
    <w:rsid w:val="001D4840"/>
    <w:rsid w:val="001D5020"/>
    <w:rsid w:val="001D5024"/>
    <w:rsid w:val="001D502E"/>
    <w:rsid w:val="001D55C7"/>
    <w:rsid w:val="001D586F"/>
    <w:rsid w:val="001D5CC1"/>
    <w:rsid w:val="001D6203"/>
    <w:rsid w:val="001D6865"/>
    <w:rsid w:val="001D6B3E"/>
    <w:rsid w:val="001D6BAE"/>
    <w:rsid w:val="001D71C4"/>
    <w:rsid w:val="001D7402"/>
    <w:rsid w:val="001D7696"/>
    <w:rsid w:val="001D7859"/>
    <w:rsid w:val="001D7AAB"/>
    <w:rsid w:val="001D7BE6"/>
    <w:rsid w:val="001D7C94"/>
    <w:rsid w:val="001D7F56"/>
    <w:rsid w:val="001E00B3"/>
    <w:rsid w:val="001E0631"/>
    <w:rsid w:val="001E07FB"/>
    <w:rsid w:val="001E0BA7"/>
    <w:rsid w:val="001E0E35"/>
    <w:rsid w:val="001E11C6"/>
    <w:rsid w:val="001E18F5"/>
    <w:rsid w:val="001E1A77"/>
    <w:rsid w:val="001E2622"/>
    <w:rsid w:val="001E267E"/>
    <w:rsid w:val="001E26C4"/>
    <w:rsid w:val="001E2793"/>
    <w:rsid w:val="001E334A"/>
    <w:rsid w:val="001E364E"/>
    <w:rsid w:val="001E3729"/>
    <w:rsid w:val="001E3BCD"/>
    <w:rsid w:val="001E3C4C"/>
    <w:rsid w:val="001E4DA6"/>
    <w:rsid w:val="001E5753"/>
    <w:rsid w:val="001E5AE8"/>
    <w:rsid w:val="001E5E73"/>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12C8"/>
    <w:rsid w:val="001F1425"/>
    <w:rsid w:val="001F1AE0"/>
    <w:rsid w:val="001F21A7"/>
    <w:rsid w:val="001F251F"/>
    <w:rsid w:val="001F28BB"/>
    <w:rsid w:val="001F2AD7"/>
    <w:rsid w:val="001F2E19"/>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7278"/>
    <w:rsid w:val="001F7435"/>
    <w:rsid w:val="001F7499"/>
    <w:rsid w:val="001F7A20"/>
    <w:rsid w:val="001F7BB8"/>
    <w:rsid w:val="001F7C72"/>
    <w:rsid w:val="001F7DA5"/>
    <w:rsid w:val="001F7DD8"/>
    <w:rsid w:val="0020063F"/>
    <w:rsid w:val="00200833"/>
    <w:rsid w:val="00200A8C"/>
    <w:rsid w:val="00200CB0"/>
    <w:rsid w:val="0020100A"/>
    <w:rsid w:val="00201128"/>
    <w:rsid w:val="0020119C"/>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29A"/>
    <w:rsid w:val="002104D8"/>
    <w:rsid w:val="00210532"/>
    <w:rsid w:val="00210567"/>
    <w:rsid w:val="002105C6"/>
    <w:rsid w:val="00210DEC"/>
    <w:rsid w:val="00210FD8"/>
    <w:rsid w:val="00211512"/>
    <w:rsid w:val="0021168B"/>
    <w:rsid w:val="00211CEC"/>
    <w:rsid w:val="00211F20"/>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A5B"/>
    <w:rsid w:val="00214F5B"/>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0BC"/>
    <w:rsid w:val="0022247A"/>
    <w:rsid w:val="002224E9"/>
    <w:rsid w:val="0022279A"/>
    <w:rsid w:val="00222A1D"/>
    <w:rsid w:val="00223400"/>
    <w:rsid w:val="00223967"/>
    <w:rsid w:val="002239B4"/>
    <w:rsid w:val="00223A46"/>
    <w:rsid w:val="00223A9F"/>
    <w:rsid w:val="00223B8A"/>
    <w:rsid w:val="00223BE5"/>
    <w:rsid w:val="00223D0F"/>
    <w:rsid w:val="0022401F"/>
    <w:rsid w:val="002245A0"/>
    <w:rsid w:val="00224633"/>
    <w:rsid w:val="00224D5C"/>
    <w:rsid w:val="002250B2"/>
    <w:rsid w:val="002256C9"/>
    <w:rsid w:val="00225AF4"/>
    <w:rsid w:val="00225E4E"/>
    <w:rsid w:val="002261C0"/>
    <w:rsid w:val="002268E2"/>
    <w:rsid w:val="002268F2"/>
    <w:rsid w:val="00226CE8"/>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B50"/>
    <w:rsid w:val="00233D0F"/>
    <w:rsid w:val="0023410E"/>
    <w:rsid w:val="0023458A"/>
    <w:rsid w:val="00234702"/>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55"/>
    <w:rsid w:val="002424E5"/>
    <w:rsid w:val="00242D31"/>
    <w:rsid w:val="00242E94"/>
    <w:rsid w:val="00242EBC"/>
    <w:rsid w:val="00242FFD"/>
    <w:rsid w:val="00243527"/>
    <w:rsid w:val="00243846"/>
    <w:rsid w:val="0024388A"/>
    <w:rsid w:val="00243A8D"/>
    <w:rsid w:val="00243DA6"/>
    <w:rsid w:val="00243F99"/>
    <w:rsid w:val="002441D4"/>
    <w:rsid w:val="00244C08"/>
    <w:rsid w:val="00244C60"/>
    <w:rsid w:val="0024519A"/>
    <w:rsid w:val="002454B6"/>
    <w:rsid w:val="002454D5"/>
    <w:rsid w:val="00245C98"/>
    <w:rsid w:val="00245E3E"/>
    <w:rsid w:val="00245E9F"/>
    <w:rsid w:val="002463AD"/>
    <w:rsid w:val="00246452"/>
    <w:rsid w:val="00246470"/>
    <w:rsid w:val="00246617"/>
    <w:rsid w:val="002469E9"/>
    <w:rsid w:val="00246A3D"/>
    <w:rsid w:val="00246F00"/>
    <w:rsid w:val="00247CE7"/>
    <w:rsid w:val="00247D12"/>
    <w:rsid w:val="00247DEA"/>
    <w:rsid w:val="00247DF0"/>
    <w:rsid w:val="00247F83"/>
    <w:rsid w:val="00250170"/>
    <w:rsid w:val="00250404"/>
    <w:rsid w:val="0025053C"/>
    <w:rsid w:val="00250877"/>
    <w:rsid w:val="002508B6"/>
    <w:rsid w:val="002509C9"/>
    <w:rsid w:val="00250C01"/>
    <w:rsid w:val="00250C2C"/>
    <w:rsid w:val="0025132B"/>
    <w:rsid w:val="002516ED"/>
    <w:rsid w:val="00251827"/>
    <w:rsid w:val="0025195C"/>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8B"/>
    <w:rsid w:val="00263355"/>
    <w:rsid w:val="002634C3"/>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72C3"/>
    <w:rsid w:val="0026746C"/>
    <w:rsid w:val="00267973"/>
    <w:rsid w:val="00267B25"/>
    <w:rsid w:val="00267B49"/>
    <w:rsid w:val="00267D1D"/>
    <w:rsid w:val="002704F1"/>
    <w:rsid w:val="00270538"/>
    <w:rsid w:val="00270724"/>
    <w:rsid w:val="0027086D"/>
    <w:rsid w:val="00270C18"/>
    <w:rsid w:val="00270DA4"/>
    <w:rsid w:val="00270DAA"/>
    <w:rsid w:val="0027133C"/>
    <w:rsid w:val="002714A1"/>
    <w:rsid w:val="002714EC"/>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9E4"/>
    <w:rsid w:val="00280D6F"/>
    <w:rsid w:val="00281283"/>
    <w:rsid w:val="002812B5"/>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4AA4"/>
    <w:rsid w:val="002851A4"/>
    <w:rsid w:val="00285878"/>
    <w:rsid w:val="00285AEF"/>
    <w:rsid w:val="00285C28"/>
    <w:rsid w:val="002860A4"/>
    <w:rsid w:val="00286362"/>
    <w:rsid w:val="00286366"/>
    <w:rsid w:val="002863F4"/>
    <w:rsid w:val="00286527"/>
    <w:rsid w:val="00286544"/>
    <w:rsid w:val="00286920"/>
    <w:rsid w:val="00286AFA"/>
    <w:rsid w:val="00286D84"/>
    <w:rsid w:val="002872F0"/>
    <w:rsid w:val="00287959"/>
    <w:rsid w:val="00287B6A"/>
    <w:rsid w:val="00287D3B"/>
    <w:rsid w:val="0029056E"/>
    <w:rsid w:val="00290B90"/>
    <w:rsid w:val="00290D5E"/>
    <w:rsid w:val="0029112B"/>
    <w:rsid w:val="002916DC"/>
    <w:rsid w:val="00291848"/>
    <w:rsid w:val="00292016"/>
    <w:rsid w:val="00292038"/>
    <w:rsid w:val="00292685"/>
    <w:rsid w:val="002926A8"/>
    <w:rsid w:val="00292841"/>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E8"/>
    <w:rsid w:val="00295017"/>
    <w:rsid w:val="002953EF"/>
    <w:rsid w:val="00295560"/>
    <w:rsid w:val="002956E1"/>
    <w:rsid w:val="00295D88"/>
    <w:rsid w:val="00295E20"/>
    <w:rsid w:val="00295F0E"/>
    <w:rsid w:val="00296095"/>
    <w:rsid w:val="0029623A"/>
    <w:rsid w:val="002963F2"/>
    <w:rsid w:val="002965EA"/>
    <w:rsid w:val="002965F8"/>
    <w:rsid w:val="002967F3"/>
    <w:rsid w:val="00296CD1"/>
    <w:rsid w:val="00296F66"/>
    <w:rsid w:val="00297100"/>
    <w:rsid w:val="0029725E"/>
    <w:rsid w:val="002974E7"/>
    <w:rsid w:val="00297D8E"/>
    <w:rsid w:val="002A0035"/>
    <w:rsid w:val="002A007E"/>
    <w:rsid w:val="002A0792"/>
    <w:rsid w:val="002A0D16"/>
    <w:rsid w:val="002A1138"/>
    <w:rsid w:val="002A1143"/>
    <w:rsid w:val="002A141A"/>
    <w:rsid w:val="002A1547"/>
    <w:rsid w:val="002A1590"/>
    <w:rsid w:val="002A17C7"/>
    <w:rsid w:val="002A198F"/>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FF3"/>
    <w:rsid w:val="002A45A2"/>
    <w:rsid w:val="002A4CEA"/>
    <w:rsid w:val="002A4FAE"/>
    <w:rsid w:val="002A5117"/>
    <w:rsid w:val="002A52DB"/>
    <w:rsid w:val="002A53E0"/>
    <w:rsid w:val="002A55CA"/>
    <w:rsid w:val="002A5720"/>
    <w:rsid w:val="002A5752"/>
    <w:rsid w:val="002A576B"/>
    <w:rsid w:val="002A5A9F"/>
    <w:rsid w:val="002A5AA9"/>
    <w:rsid w:val="002A5AC5"/>
    <w:rsid w:val="002A5E9E"/>
    <w:rsid w:val="002A6F4F"/>
    <w:rsid w:val="002A7AB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48B"/>
    <w:rsid w:val="002B5DCF"/>
    <w:rsid w:val="002B5F34"/>
    <w:rsid w:val="002B6528"/>
    <w:rsid w:val="002B6531"/>
    <w:rsid w:val="002B68FC"/>
    <w:rsid w:val="002B6B01"/>
    <w:rsid w:val="002B746B"/>
    <w:rsid w:val="002B74D2"/>
    <w:rsid w:val="002B7880"/>
    <w:rsid w:val="002C002B"/>
    <w:rsid w:val="002C00DD"/>
    <w:rsid w:val="002C0855"/>
    <w:rsid w:val="002C0958"/>
    <w:rsid w:val="002C0B5D"/>
    <w:rsid w:val="002C102E"/>
    <w:rsid w:val="002C12AB"/>
    <w:rsid w:val="002C1467"/>
    <w:rsid w:val="002C1867"/>
    <w:rsid w:val="002C1CE4"/>
    <w:rsid w:val="002C1FA5"/>
    <w:rsid w:val="002C202A"/>
    <w:rsid w:val="002C2193"/>
    <w:rsid w:val="002C23A3"/>
    <w:rsid w:val="002C2522"/>
    <w:rsid w:val="002C2E5D"/>
    <w:rsid w:val="002C30DF"/>
    <w:rsid w:val="002C3196"/>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D5A"/>
    <w:rsid w:val="002C6145"/>
    <w:rsid w:val="002C64A1"/>
    <w:rsid w:val="002C65C8"/>
    <w:rsid w:val="002C6870"/>
    <w:rsid w:val="002C6A72"/>
    <w:rsid w:val="002C6B21"/>
    <w:rsid w:val="002C6B23"/>
    <w:rsid w:val="002C6D68"/>
    <w:rsid w:val="002C75D0"/>
    <w:rsid w:val="002C7ACC"/>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0CE"/>
    <w:rsid w:val="002D31FB"/>
    <w:rsid w:val="002D357A"/>
    <w:rsid w:val="002D35A4"/>
    <w:rsid w:val="002D3A57"/>
    <w:rsid w:val="002D402A"/>
    <w:rsid w:val="002D4142"/>
    <w:rsid w:val="002D4329"/>
    <w:rsid w:val="002D43D9"/>
    <w:rsid w:val="002D47EF"/>
    <w:rsid w:val="002D48FF"/>
    <w:rsid w:val="002D4B7C"/>
    <w:rsid w:val="002D589E"/>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B25"/>
    <w:rsid w:val="002E2071"/>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E10"/>
    <w:rsid w:val="002E57DB"/>
    <w:rsid w:val="002E57F0"/>
    <w:rsid w:val="002E58D1"/>
    <w:rsid w:val="002E5A3B"/>
    <w:rsid w:val="002E5F34"/>
    <w:rsid w:val="002E612D"/>
    <w:rsid w:val="002E64AC"/>
    <w:rsid w:val="002E65CD"/>
    <w:rsid w:val="002E68BD"/>
    <w:rsid w:val="002E6E72"/>
    <w:rsid w:val="002E733D"/>
    <w:rsid w:val="002E79FA"/>
    <w:rsid w:val="002F0052"/>
    <w:rsid w:val="002F0222"/>
    <w:rsid w:val="002F049D"/>
    <w:rsid w:val="002F04FE"/>
    <w:rsid w:val="002F0C48"/>
    <w:rsid w:val="002F17BA"/>
    <w:rsid w:val="002F185A"/>
    <w:rsid w:val="002F1E2F"/>
    <w:rsid w:val="002F1F43"/>
    <w:rsid w:val="002F2642"/>
    <w:rsid w:val="002F2CF7"/>
    <w:rsid w:val="002F2E5C"/>
    <w:rsid w:val="002F2F4A"/>
    <w:rsid w:val="002F3376"/>
    <w:rsid w:val="002F3461"/>
    <w:rsid w:val="002F3478"/>
    <w:rsid w:val="002F3492"/>
    <w:rsid w:val="002F397E"/>
    <w:rsid w:val="002F3DB9"/>
    <w:rsid w:val="002F4121"/>
    <w:rsid w:val="002F4367"/>
    <w:rsid w:val="002F45FE"/>
    <w:rsid w:val="002F48D4"/>
    <w:rsid w:val="002F4A44"/>
    <w:rsid w:val="002F4EA5"/>
    <w:rsid w:val="002F522A"/>
    <w:rsid w:val="002F5544"/>
    <w:rsid w:val="002F566B"/>
    <w:rsid w:val="002F5731"/>
    <w:rsid w:val="002F581D"/>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8AF"/>
    <w:rsid w:val="003034D5"/>
    <w:rsid w:val="003037E8"/>
    <w:rsid w:val="00303FEB"/>
    <w:rsid w:val="0030419A"/>
    <w:rsid w:val="00304262"/>
    <w:rsid w:val="0030426D"/>
    <w:rsid w:val="003044D6"/>
    <w:rsid w:val="003049DF"/>
    <w:rsid w:val="003049E8"/>
    <w:rsid w:val="00304BEA"/>
    <w:rsid w:val="00304BEC"/>
    <w:rsid w:val="00304D08"/>
    <w:rsid w:val="00304D8C"/>
    <w:rsid w:val="00304FB2"/>
    <w:rsid w:val="00305271"/>
    <w:rsid w:val="00305A86"/>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439"/>
    <w:rsid w:val="003114F9"/>
    <w:rsid w:val="00312853"/>
    <w:rsid w:val="00312B66"/>
    <w:rsid w:val="00312F0F"/>
    <w:rsid w:val="00313774"/>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B1F"/>
    <w:rsid w:val="00321EAF"/>
    <w:rsid w:val="00322261"/>
    <w:rsid w:val="0032236F"/>
    <w:rsid w:val="00322531"/>
    <w:rsid w:val="003228D4"/>
    <w:rsid w:val="003237A4"/>
    <w:rsid w:val="00323B0B"/>
    <w:rsid w:val="00323DBA"/>
    <w:rsid w:val="00324002"/>
    <w:rsid w:val="00324277"/>
    <w:rsid w:val="00324587"/>
    <w:rsid w:val="00324951"/>
    <w:rsid w:val="00324B8C"/>
    <w:rsid w:val="00324CCE"/>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A3"/>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1A3"/>
    <w:rsid w:val="0033688B"/>
    <w:rsid w:val="00336B46"/>
    <w:rsid w:val="00336DFE"/>
    <w:rsid w:val="0033748D"/>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635"/>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C3E"/>
    <w:rsid w:val="00353CAD"/>
    <w:rsid w:val="00353DCC"/>
    <w:rsid w:val="00354086"/>
    <w:rsid w:val="0035433D"/>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62D"/>
    <w:rsid w:val="003606BF"/>
    <w:rsid w:val="0036097D"/>
    <w:rsid w:val="00360D5D"/>
    <w:rsid w:val="00361163"/>
    <w:rsid w:val="0036128C"/>
    <w:rsid w:val="00361C30"/>
    <w:rsid w:val="003620FE"/>
    <w:rsid w:val="0036213C"/>
    <w:rsid w:val="00362D3F"/>
    <w:rsid w:val="00363216"/>
    <w:rsid w:val="003632D5"/>
    <w:rsid w:val="00363CDA"/>
    <w:rsid w:val="00364A7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E23"/>
    <w:rsid w:val="0037412A"/>
    <w:rsid w:val="00374599"/>
    <w:rsid w:val="00374727"/>
    <w:rsid w:val="0037480A"/>
    <w:rsid w:val="00374834"/>
    <w:rsid w:val="00374856"/>
    <w:rsid w:val="003749BD"/>
    <w:rsid w:val="00374CE9"/>
    <w:rsid w:val="00374E51"/>
    <w:rsid w:val="00375342"/>
    <w:rsid w:val="00375349"/>
    <w:rsid w:val="00375B88"/>
    <w:rsid w:val="00376264"/>
    <w:rsid w:val="003769CB"/>
    <w:rsid w:val="00376A10"/>
    <w:rsid w:val="00376D39"/>
    <w:rsid w:val="00376EB8"/>
    <w:rsid w:val="00376F5A"/>
    <w:rsid w:val="00377131"/>
    <w:rsid w:val="00377F90"/>
    <w:rsid w:val="00377F99"/>
    <w:rsid w:val="00380215"/>
    <w:rsid w:val="00380856"/>
    <w:rsid w:val="00380939"/>
    <w:rsid w:val="00380B59"/>
    <w:rsid w:val="00380E6D"/>
    <w:rsid w:val="00381849"/>
    <w:rsid w:val="00381B21"/>
    <w:rsid w:val="00381C9E"/>
    <w:rsid w:val="00382208"/>
    <w:rsid w:val="00382284"/>
    <w:rsid w:val="003825BB"/>
    <w:rsid w:val="0038280E"/>
    <w:rsid w:val="003828F3"/>
    <w:rsid w:val="00382C26"/>
    <w:rsid w:val="00383CFF"/>
    <w:rsid w:val="003840EF"/>
    <w:rsid w:val="003842AA"/>
    <w:rsid w:val="003842D0"/>
    <w:rsid w:val="003843E2"/>
    <w:rsid w:val="00384687"/>
    <w:rsid w:val="00384CA8"/>
    <w:rsid w:val="00385031"/>
    <w:rsid w:val="00385102"/>
    <w:rsid w:val="00385259"/>
    <w:rsid w:val="00385418"/>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630"/>
    <w:rsid w:val="003946A0"/>
    <w:rsid w:val="003948DC"/>
    <w:rsid w:val="00394A26"/>
    <w:rsid w:val="00394C1A"/>
    <w:rsid w:val="00394C3A"/>
    <w:rsid w:val="00395189"/>
    <w:rsid w:val="00395195"/>
    <w:rsid w:val="0039527D"/>
    <w:rsid w:val="00395319"/>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C9E"/>
    <w:rsid w:val="003A1E09"/>
    <w:rsid w:val="003A1E5D"/>
    <w:rsid w:val="003A2007"/>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F9"/>
    <w:rsid w:val="003A6FE1"/>
    <w:rsid w:val="003A7007"/>
    <w:rsid w:val="003A7166"/>
    <w:rsid w:val="003A72CB"/>
    <w:rsid w:val="003A72FF"/>
    <w:rsid w:val="003A772D"/>
    <w:rsid w:val="003A7D35"/>
    <w:rsid w:val="003B0421"/>
    <w:rsid w:val="003B0632"/>
    <w:rsid w:val="003B08B0"/>
    <w:rsid w:val="003B0926"/>
    <w:rsid w:val="003B0D16"/>
    <w:rsid w:val="003B11CE"/>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73F"/>
    <w:rsid w:val="003C29DB"/>
    <w:rsid w:val="003C2CF9"/>
    <w:rsid w:val="003C322E"/>
    <w:rsid w:val="003C3396"/>
    <w:rsid w:val="003C3583"/>
    <w:rsid w:val="003C37C0"/>
    <w:rsid w:val="003C3BCC"/>
    <w:rsid w:val="003C40FB"/>
    <w:rsid w:val="003C44E0"/>
    <w:rsid w:val="003C4581"/>
    <w:rsid w:val="003C461B"/>
    <w:rsid w:val="003C4723"/>
    <w:rsid w:val="003C4824"/>
    <w:rsid w:val="003C484A"/>
    <w:rsid w:val="003C5513"/>
    <w:rsid w:val="003C56BF"/>
    <w:rsid w:val="003C5714"/>
    <w:rsid w:val="003C597E"/>
    <w:rsid w:val="003C5E02"/>
    <w:rsid w:val="003C6184"/>
    <w:rsid w:val="003C6531"/>
    <w:rsid w:val="003C6A55"/>
    <w:rsid w:val="003C6B1D"/>
    <w:rsid w:val="003C6BAE"/>
    <w:rsid w:val="003C6CAB"/>
    <w:rsid w:val="003C7449"/>
    <w:rsid w:val="003C7514"/>
    <w:rsid w:val="003C774C"/>
    <w:rsid w:val="003C79D8"/>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2EC"/>
    <w:rsid w:val="003D35B6"/>
    <w:rsid w:val="003D3650"/>
    <w:rsid w:val="003D36B9"/>
    <w:rsid w:val="003D38BC"/>
    <w:rsid w:val="003D39CD"/>
    <w:rsid w:val="003D3A1D"/>
    <w:rsid w:val="003D4071"/>
    <w:rsid w:val="003D4564"/>
    <w:rsid w:val="003D4B4D"/>
    <w:rsid w:val="003D4CB6"/>
    <w:rsid w:val="003D5218"/>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E0199"/>
    <w:rsid w:val="003E0358"/>
    <w:rsid w:val="003E0ADC"/>
    <w:rsid w:val="003E13D9"/>
    <w:rsid w:val="003E1907"/>
    <w:rsid w:val="003E1948"/>
    <w:rsid w:val="003E2253"/>
    <w:rsid w:val="003E233C"/>
    <w:rsid w:val="003E2A8D"/>
    <w:rsid w:val="003E2D63"/>
    <w:rsid w:val="003E3577"/>
    <w:rsid w:val="003E36B1"/>
    <w:rsid w:val="003E36C7"/>
    <w:rsid w:val="003E37EF"/>
    <w:rsid w:val="003E38A2"/>
    <w:rsid w:val="003E3925"/>
    <w:rsid w:val="003E3F0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51"/>
    <w:rsid w:val="003F0008"/>
    <w:rsid w:val="003F0279"/>
    <w:rsid w:val="003F0332"/>
    <w:rsid w:val="003F050B"/>
    <w:rsid w:val="003F06D3"/>
    <w:rsid w:val="003F09B4"/>
    <w:rsid w:val="003F09EB"/>
    <w:rsid w:val="003F0A9A"/>
    <w:rsid w:val="003F150A"/>
    <w:rsid w:val="003F2118"/>
    <w:rsid w:val="003F212F"/>
    <w:rsid w:val="003F21AE"/>
    <w:rsid w:val="003F21D3"/>
    <w:rsid w:val="003F2483"/>
    <w:rsid w:val="003F24E3"/>
    <w:rsid w:val="003F25F0"/>
    <w:rsid w:val="003F2759"/>
    <w:rsid w:val="003F29D4"/>
    <w:rsid w:val="003F31E3"/>
    <w:rsid w:val="003F34F9"/>
    <w:rsid w:val="003F3839"/>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48E"/>
    <w:rsid w:val="003F791E"/>
    <w:rsid w:val="003F7ABA"/>
    <w:rsid w:val="003F7B06"/>
    <w:rsid w:val="003F7DC5"/>
    <w:rsid w:val="003F7ED8"/>
    <w:rsid w:val="003F7EE3"/>
    <w:rsid w:val="003F7EE7"/>
    <w:rsid w:val="003F7F45"/>
    <w:rsid w:val="00400190"/>
    <w:rsid w:val="00400459"/>
    <w:rsid w:val="0040046F"/>
    <w:rsid w:val="0040049A"/>
    <w:rsid w:val="00400B51"/>
    <w:rsid w:val="00401123"/>
    <w:rsid w:val="00401328"/>
    <w:rsid w:val="00401807"/>
    <w:rsid w:val="004018A5"/>
    <w:rsid w:val="00401AD1"/>
    <w:rsid w:val="00401D95"/>
    <w:rsid w:val="004022F4"/>
    <w:rsid w:val="004024D2"/>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9FA"/>
    <w:rsid w:val="00405B31"/>
    <w:rsid w:val="00405BB4"/>
    <w:rsid w:val="0040606B"/>
    <w:rsid w:val="0040607C"/>
    <w:rsid w:val="004061AB"/>
    <w:rsid w:val="004063D6"/>
    <w:rsid w:val="0040648E"/>
    <w:rsid w:val="004064AE"/>
    <w:rsid w:val="004067BD"/>
    <w:rsid w:val="00406880"/>
    <w:rsid w:val="00406FD3"/>
    <w:rsid w:val="004070A1"/>
    <w:rsid w:val="00407500"/>
    <w:rsid w:val="00407596"/>
    <w:rsid w:val="004078FD"/>
    <w:rsid w:val="00407CFB"/>
    <w:rsid w:val="00407DCF"/>
    <w:rsid w:val="00407F34"/>
    <w:rsid w:val="004104A8"/>
    <w:rsid w:val="004107B3"/>
    <w:rsid w:val="00410E18"/>
    <w:rsid w:val="004111C5"/>
    <w:rsid w:val="00411304"/>
    <w:rsid w:val="0041171F"/>
    <w:rsid w:val="00411ADF"/>
    <w:rsid w:val="00411BCC"/>
    <w:rsid w:val="0041265A"/>
    <w:rsid w:val="004126C8"/>
    <w:rsid w:val="0041294A"/>
    <w:rsid w:val="00412B72"/>
    <w:rsid w:val="00413419"/>
    <w:rsid w:val="00413876"/>
    <w:rsid w:val="00413B93"/>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3D"/>
    <w:rsid w:val="0042114E"/>
    <w:rsid w:val="00421227"/>
    <w:rsid w:val="0042145F"/>
    <w:rsid w:val="00421498"/>
    <w:rsid w:val="0042163C"/>
    <w:rsid w:val="00421C0C"/>
    <w:rsid w:val="00422D37"/>
    <w:rsid w:val="00422E61"/>
    <w:rsid w:val="00423435"/>
    <w:rsid w:val="00423B88"/>
    <w:rsid w:val="00423E1D"/>
    <w:rsid w:val="00423F94"/>
    <w:rsid w:val="004241A7"/>
    <w:rsid w:val="004245B2"/>
    <w:rsid w:val="00424D1C"/>
    <w:rsid w:val="004252BF"/>
    <w:rsid w:val="00425373"/>
    <w:rsid w:val="004253AE"/>
    <w:rsid w:val="0042553B"/>
    <w:rsid w:val="004264CE"/>
    <w:rsid w:val="0042675C"/>
    <w:rsid w:val="00426C1A"/>
    <w:rsid w:val="00426C24"/>
    <w:rsid w:val="00426EBE"/>
    <w:rsid w:val="00427AC8"/>
    <w:rsid w:val="004300AC"/>
    <w:rsid w:val="00430107"/>
    <w:rsid w:val="00430301"/>
    <w:rsid w:val="00430B0D"/>
    <w:rsid w:val="00431069"/>
    <w:rsid w:val="00431A5E"/>
    <w:rsid w:val="00431DB5"/>
    <w:rsid w:val="00431EDD"/>
    <w:rsid w:val="00432133"/>
    <w:rsid w:val="00432360"/>
    <w:rsid w:val="00432534"/>
    <w:rsid w:val="00432692"/>
    <w:rsid w:val="004329F5"/>
    <w:rsid w:val="00432A24"/>
    <w:rsid w:val="00432E00"/>
    <w:rsid w:val="004335EC"/>
    <w:rsid w:val="00433796"/>
    <w:rsid w:val="00433909"/>
    <w:rsid w:val="00433A6A"/>
    <w:rsid w:val="00433C33"/>
    <w:rsid w:val="00433E6D"/>
    <w:rsid w:val="004340C6"/>
    <w:rsid w:val="004345CE"/>
    <w:rsid w:val="004345F0"/>
    <w:rsid w:val="00434766"/>
    <w:rsid w:val="00434B8E"/>
    <w:rsid w:val="004352CF"/>
    <w:rsid w:val="0043560C"/>
    <w:rsid w:val="004360BD"/>
    <w:rsid w:val="0043622F"/>
    <w:rsid w:val="004364B0"/>
    <w:rsid w:val="004365FF"/>
    <w:rsid w:val="00436A13"/>
    <w:rsid w:val="004371D4"/>
    <w:rsid w:val="004373DC"/>
    <w:rsid w:val="00437755"/>
    <w:rsid w:val="00437B02"/>
    <w:rsid w:val="00437D3D"/>
    <w:rsid w:val="00437DE7"/>
    <w:rsid w:val="00437F02"/>
    <w:rsid w:val="00437F70"/>
    <w:rsid w:val="0044012E"/>
    <w:rsid w:val="00440239"/>
    <w:rsid w:val="00440439"/>
    <w:rsid w:val="00440A05"/>
    <w:rsid w:val="00440AB0"/>
    <w:rsid w:val="00440D07"/>
    <w:rsid w:val="004410D4"/>
    <w:rsid w:val="004414E2"/>
    <w:rsid w:val="004416FA"/>
    <w:rsid w:val="00441C09"/>
    <w:rsid w:val="0044204C"/>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EA2"/>
    <w:rsid w:val="00445F65"/>
    <w:rsid w:val="004463DC"/>
    <w:rsid w:val="004463DD"/>
    <w:rsid w:val="0044664C"/>
    <w:rsid w:val="004466AD"/>
    <w:rsid w:val="00446701"/>
    <w:rsid w:val="00446BBA"/>
    <w:rsid w:val="00446E50"/>
    <w:rsid w:val="00447803"/>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219E"/>
    <w:rsid w:val="00452413"/>
    <w:rsid w:val="004524E3"/>
    <w:rsid w:val="004525E6"/>
    <w:rsid w:val="004525FA"/>
    <w:rsid w:val="00452B58"/>
    <w:rsid w:val="00452B9D"/>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611C"/>
    <w:rsid w:val="00456751"/>
    <w:rsid w:val="00456A7C"/>
    <w:rsid w:val="00456AF5"/>
    <w:rsid w:val="00456AF7"/>
    <w:rsid w:val="00456CD6"/>
    <w:rsid w:val="00456E8D"/>
    <w:rsid w:val="00457047"/>
    <w:rsid w:val="00457133"/>
    <w:rsid w:val="00457830"/>
    <w:rsid w:val="00457B3D"/>
    <w:rsid w:val="00457CD0"/>
    <w:rsid w:val="00457EEE"/>
    <w:rsid w:val="00460246"/>
    <w:rsid w:val="00460AD3"/>
    <w:rsid w:val="004610F0"/>
    <w:rsid w:val="004612F7"/>
    <w:rsid w:val="0046153B"/>
    <w:rsid w:val="0046177F"/>
    <w:rsid w:val="00461AA1"/>
    <w:rsid w:val="00461C36"/>
    <w:rsid w:val="00461D4A"/>
    <w:rsid w:val="00461EBD"/>
    <w:rsid w:val="004621D4"/>
    <w:rsid w:val="00462672"/>
    <w:rsid w:val="00462985"/>
    <w:rsid w:val="00462C92"/>
    <w:rsid w:val="00462D0F"/>
    <w:rsid w:val="0046302F"/>
    <w:rsid w:val="00463284"/>
    <w:rsid w:val="004638BC"/>
    <w:rsid w:val="00463BEA"/>
    <w:rsid w:val="00463E7D"/>
    <w:rsid w:val="0046414F"/>
    <w:rsid w:val="00464A49"/>
    <w:rsid w:val="00464D03"/>
    <w:rsid w:val="00464D42"/>
    <w:rsid w:val="0046538D"/>
    <w:rsid w:val="0046550B"/>
    <w:rsid w:val="00465AF0"/>
    <w:rsid w:val="00465C78"/>
    <w:rsid w:val="00466468"/>
    <w:rsid w:val="00466864"/>
    <w:rsid w:val="00466D3F"/>
    <w:rsid w:val="00466E9B"/>
    <w:rsid w:val="004677D5"/>
    <w:rsid w:val="00467AAF"/>
    <w:rsid w:val="00467AD2"/>
    <w:rsid w:val="00467B05"/>
    <w:rsid w:val="00470B67"/>
    <w:rsid w:val="00470D83"/>
    <w:rsid w:val="00470E7F"/>
    <w:rsid w:val="00470F44"/>
    <w:rsid w:val="004710C0"/>
    <w:rsid w:val="0047121B"/>
    <w:rsid w:val="00471377"/>
    <w:rsid w:val="004713F0"/>
    <w:rsid w:val="00471731"/>
    <w:rsid w:val="004718E6"/>
    <w:rsid w:val="00471B42"/>
    <w:rsid w:val="004720D6"/>
    <w:rsid w:val="0047224D"/>
    <w:rsid w:val="00472BF7"/>
    <w:rsid w:val="00472D45"/>
    <w:rsid w:val="0047336B"/>
    <w:rsid w:val="004735C9"/>
    <w:rsid w:val="004736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6D9"/>
    <w:rsid w:val="004838AF"/>
    <w:rsid w:val="00483A49"/>
    <w:rsid w:val="00483B3C"/>
    <w:rsid w:val="00483D0D"/>
    <w:rsid w:val="00483D81"/>
    <w:rsid w:val="00483DF7"/>
    <w:rsid w:val="00483E9A"/>
    <w:rsid w:val="00484056"/>
    <w:rsid w:val="00484128"/>
    <w:rsid w:val="00484190"/>
    <w:rsid w:val="00484361"/>
    <w:rsid w:val="004844C5"/>
    <w:rsid w:val="00484A8E"/>
    <w:rsid w:val="00484CDE"/>
    <w:rsid w:val="00484D1E"/>
    <w:rsid w:val="00484E0A"/>
    <w:rsid w:val="00484F9C"/>
    <w:rsid w:val="00484FF5"/>
    <w:rsid w:val="00485245"/>
    <w:rsid w:val="00485303"/>
    <w:rsid w:val="00485391"/>
    <w:rsid w:val="00485D65"/>
    <w:rsid w:val="00485E09"/>
    <w:rsid w:val="00486426"/>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B2A"/>
    <w:rsid w:val="00490CE9"/>
    <w:rsid w:val="004916DF"/>
    <w:rsid w:val="00491BAA"/>
    <w:rsid w:val="00491C68"/>
    <w:rsid w:val="00491E4F"/>
    <w:rsid w:val="00492709"/>
    <w:rsid w:val="004928AB"/>
    <w:rsid w:val="00492F91"/>
    <w:rsid w:val="00493377"/>
    <w:rsid w:val="0049359B"/>
    <w:rsid w:val="00493614"/>
    <w:rsid w:val="004937BF"/>
    <w:rsid w:val="00493AFB"/>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1DF6"/>
    <w:rsid w:val="004A1F4F"/>
    <w:rsid w:val="004A26A7"/>
    <w:rsid w:val="004A2A0E"/>
    <w:rsid w:val="004A2D69"/>
    <w:rsid w:val="004A2D71"/>
    <w:rsid w:val="004A3026"/>
    <w:rsid w:val="004A30D7"/>
    <w:rsid w:val="004A3198"/>
    <w:rsid w:val="004A3698"/>
    <w:rsid w:val="004A382D"/>
    <w:rsid w:val="004A3A53"/>
    <w:rsid w:val="004A4519"/>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733"/>
    <w:rsid w:val="004B58EE"/>
    <w:rsid w:val="004B5A09"/>
    <w:rsid w:val="004B5A87"/>
    <w:rsid w:val="004B5D27"/>
    <w:rsid w:val="004B5F60"/>
    <w:rsid w:val="004B61E0"/>
    <w:rsid w:val="004B687E"/>
    <w:rsid w:val="004B69D6"/>
    <w:rsid w:val="004B6E17"/>
    <w:rsid w:val="004B7024"/>
    <w:rsid w:val="004B77D1"/>
    <w:rsid w:val="004B7A0C"/>
    <w:rsid w:val="004B7A21"/>
    <w:rsid w:val="004B7A77"/>
    <w:rsid w:val="004B7AE6"/>
    <w:rsid w:val="004B7D0E"/>
    <w:rsid w:val="004C00B6"/>
    <w:rsid w:val="004C01BE"/>
    <w:rsid w:val="004C01FF"/>
    <w:rsid w:val="004C07B3"/>
    <w:rsid w:val="004C0835"/>
    <w:rsid w:val="004C0E96"/>
    <w:rsid w:val="004C0F29"/>
    <w:rsid w:val="004C12F3"/>
    <w:rsid w:val="004C1525"/>
    <w:rsid w:val="004C19B8"/>
    <w:rsid w:val="004C1A8E"/>
    <w:rsid w:val="004C1C1B"/>
    <w:rsid w:val="004C1FD0"/>
    <w:rsid w:val="004C20BB"/>
    <w:rsid w:val="004C24FE"/>
    <w:rsid w:val="004C2BE2"/>
    <w:rsid w:val="004C2E70"/>
    <w:rsid w:val="004C2EF8"/>
    <w:rsid w:val="004C3319"/>
    <w:rsid w:val="004C377F"/>
    <w:rsid w:val="004C3AD9"/>
    <w:rsid w:val="004C3C3E"/>
    <w:rsid w:val="004C3CBF"/>
    <w:rsid w:val="004C3F30"/>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60D1"/>
    <w:rsid w:val="004C61E5"/>
    <w:rsid w:val="004C654C"/>
    <w:rsid w:val="004C658C"/>
    <w:rsid w:val="004C68E4"/>
    <w:rsid w:val="004C6983"/>
    <w:rsid w:val="004C6E38"/>
    <w:rsid w:val="004C6F9D"/>
    <w:rsid w:val="004C73A5"/>
    <w:rsid w:val="004C76A3"/>
    <w:rsid w:val="004C7901"/>
    <w:rsid w:val="004C797C"/>
    <w:rsid w:val="004D0245"/>
    <w:rsid w:val="004D02E2"/>
    <w:rsid w:val="004D057E"/>
    <w:rsid w:val="004D0859"/>
    <w:rsid w:val="004D0961"/>
    <w:rsid w:val="004D0963"/>
    <w:rsid w:val="004D0FAD"/>
    <w:rsid w:val="004D0FFA"/>
    <w:rsid w:val="004D1299"/>
    <w:rsid w:val="004D1732"/>
    <w:rsid w:val="004D1853"/>
    <w:rsid w:val="004D1924"/>
    <w:rsid w:val="004D1C15"/>
    <w:rsid w:val="004D1C62"/>
    <w:rsid w:val="004D1CCC"/>
    <w:rsid w:val="004D1E12"/>
    <w:rsid w:val="004D2A56"/>
    <w:rsid w:val="004D2DB2"/>
    <w:rsid w:val="004D3177"/>
    <w:rsid w:val="004D35AD"/>
    <w:rsid w:val="004D3BF2"/>
    <w:rsid w:val="004D3E8A"/>
    <w:rsid w:val="004D3F29"/>
    <w:rsid w:val="004D40E4"/>
    <w:rsid w:val="004D4459"/>
    <w:rsid w:val="004D476D"/>
    <w:rsid w:val="004D4946"/>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2129"/>
    <w:rsid w:val="004E275F"/>
    <w:rsid w:val="004E27EC"/>
    <w:rsid w:val="004E2FF6"/>
    <w:rsid w:val="004E30DA"/>
    <w:rsid w:val="004E324C"/>
    <w:rsid w:val="004E3310"/>
    <w:rsid w:val="004E3693"/>
    <w:rsid w:val="004E3A0E"/>
    <w:rsid w:val="004E3ACB"/>
    <w:rsid w:val="004E3C4D"/>
    <w:rsid w:val="004E41FA"/>
    <w:rsid w:val="004E4883"/>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71E"/>
    <w:rsid w:val="004F2190"/>
    <w:rsid w:val="004F223E"/>
    <w:rsid w:val="004F24CF"/>
    <w:rsid w:val="004F27CF"/>
    <w:rsid w:val="004F29F7"/>
    <w:rsid w:val="004F2C4C"/>
    <w:rsid w:val="004F322E"/>
    <w:rsid w:val="004F3304"/>
    <w:rsid w:val="004F336F"/>
    <w:rsid w:val="004F376F"/>
    <w:rsid w:val="004F3AA1"/>
    <w:rsid w:val="004F3B42"/>
    <w:rsid w:val="004F3C7C"/>
    <w:rsid w:val="004F3D50"/>
    <w:rsid w:val="004F3D93"/>
    <w:rsid w:val="004F4146"/>
    <w:rsid w:val="004F41C9"/>
    <w:rsid w:val="004F4493"/>
    <w:rsid w:val="004F4710"/>
    <w:rsid w:val="004F48AC"/>
    <w:rsid w:val="004F4B9D"/>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BBE"/>
    <w:rsid w:val="00501F73"/>
    <w:rsid w:val="0050206E"/>
    <w:rsid w:val="005020E8"/>
    <w:rsid w:val="00502637"/>
    <w:rsid w:val="00502829"/>
    <w:rsid w:val="0050345B"/>
    <w:rsid w:val="00503A44"/>
    <w:rsid w:val="00503AF6"/>
    <w:rsid w:val="00503B2A"/>
    <w:rsid w:val="005046AB"/>
    <w:rsid w:val="00504C66"/>
    <w:rsid w:val="00504E80"/>
    <w:rsid w:val="00505788"/>
    <w:rsid w:val="00505A8D"/>
    <w:rsid w:val="00505AFE"/>
    <w:rsid w:val="00505B3F"/>
    <w:rsid w:val="00505C32"/>
    <w:rsid w:val="00505D8F"/>
    <w:rsid w:val="00506459"/>
    <w:rsid w:val="005068F8"/>
    <w:rsid w:val="00506A9B"/>
    <w:rsid w:val="00506BB3"/>
    <w:rsid w:val="005074F0"/>
    <w:rsid w:val="00507583"/>
    <w:rsid w:val="005076D6"/>
    <w:rsid w:val="00507876"/>
    <w:rsid w:val="00507BAF"/>
    <w:rsid w:val="00507D0E"/>
    <w:rsid w:val="00507ED9"/>
    <w:rsid w:val="0051022F"/>
    <w:rsid w:val="00510902"/>
    <w:rsid w:val="00510999"/>
    <w:rsid w:val="00510A76"/>
    <w:rsid w:val="00510DDC"/>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DAB"/>
    <w:rsid w:val="005160BB"/>
    <w:rsid w:val="005163E6"/>
    <w:rsid w:val="0051665E"/>
    <w:rsid w:val="0051673C"/>
    <w:rsid w:val="00516D7B"/>
    <w:rsid w:val="00517196"/>
    <w:rsid w:val="005178BF"/>
    <w:rsid w:val="00517994"/>
    <w:rsid w:val="00517E9F"/>
    <w:rsid w:val="0052014E"/>
    <w:rsid w:val="00520493"/>
    <w:rsid w:val="00520969"/>
    <w:rsid w:val="00520BC1"/>
    <w:rsid w:val="00520BDC"/>
    <w:rsid w:val="00520C9E"/>
    <w:rsid w:val="00520E29"/>
    <w:rsid w:val="00521A1B"/>
    <w:rsid w:val="00521B0E"/>
    <w:rsid w:val="00521D36"/>
    <w:rsid w:val="0052255A"/>
    <w:rsid w:val="005228C0"/>
    <w:rsid w:val="005229C7"/>
    <w:rsid w:val="00523466"/>
    <w:rsid w:val="00523DD2"/>
    <w:rsid w:val="00523E1B"/>
    <w:rsid w:val="00523F10"/>
    <w:rsid w:val="005242AF"/>
    <w:rsid w:val="00524A74"/>
    <w:rsid w:val="00524CB1"/>
    <w:rsid w:val="0052514B"/>
    <w:rsid w:val="0052539D"/>
    <w:rsid w:val="00525833"/>
    <w:rsid w:val="005265AA"/>
    <w:rsid w:val="005265BE"/>
    <w:rsid w:val="00526ADF"/>
    <w:rsid w:val="00526C75"/>
    <w:rsid w:val="00526D21"/>
    <w:rsid w:val="00526D3E"/>
    <w:rsid w:val="00526EC5"/>
    <w:rsid w:val="00526F20"/>
    <w:rsid w:val="005271CF"/>
    <w:rsid w:val="005273B7"/>
    <w:rsid w:val="00527593"/>
    <w:rsid w:val="005279F6"/>
    <w:rsid w:val="00527ADA"/>
    <w:rsid w:val="00527EF8"/>
    <w:rsid w:val="00527F1A"/>
    <w:rsid w:val="00527FC5"/>
    <w:rsid w:val="00530086"/>
    <w:rsid w:val="005304F9"/>
    <w:rsid w:val="00530540"/>
    <w:rsid w:val="00530845"/>
    <w:rsid w:val="005309B2"/>
    <w:rsid w:val="00530A79"/>
    <w:rsid w:val="0053106B"/>
    <w:rsid w:val="00531682"/>
    <w:rsid w:val="00531999"/>
    <w:rsid w:val="00531AB7"/>
    <w:rsid w:val="00531B0D"/>
    <w:rsid w:val="00531B40"/>
    <w:rsid w:val="00532013"/>
    <w:rsid w:val="005320AD"/>
    <w:rsid w:val="00532607"/>
    <w:rsid w:val="0053270E"/>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4C08"/>
    <w:rsid w:val="00535402"/>
    <w:rsid w:val="00535FD4"/>
    <w:rsid w:val="005360D4"/>
    <w:rsid w:val="0053651E"/>
    <w:rsid w:val="005366D5"/>
    <w:rsid w:val="0053676B"/>
    <w:rsid w:val="00536808"/>
    <w:rsid w:val="005368C6"/>
    <w:rsid w:val="00536AA8"/>
    <w:rsid w:val="0053747F"/>
    <w:rsid w:val="00537A42"/>
    <w:rsid w:val="00537A58"/>
    <w:rsid w:val="00537AF1"/>
    <w:rsid w:val="00537B0B"/>
    <w:rsid w:val="00537BF1"/>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66E"/>
    <w:rsid w:val="0054369A"/>
    <w:rsid w:val="00543778"/>
    <w:rsid w:val="00543988"/>
    <w:rsid w:val="00544030"/>
    <w:rsid w:val="00544235"/>
    <w:rsid w:val="00544655"/>
    <w:rsid w:val="00544665"/>
    <w:rsid w:val="00544757"/>
    <w:rsid w:val="00545112"/>
    <w:rsid w:val="00545386"/>
    <w:rsid w:val="005456D0"/>
    <w:rsid w:val="00545857"/>
    <w:rsid w:val="0054594F"/>
    <w:rsid w:val="00545990"/>
    <w:rsid w:val="00545D26"/>
    <w:rsid w:val="00546014"/>
    <w:rsid w:val="005461EE"/>
    <w:rsid w:val="00546355"/>
    <w:rsid w:val="0054665E"/>
    <w:rsid w:val="00546ADB"/>
    <w:rsid w:val="00546F8B"/>
    <w:rsid w:val="0054779C"/>
    <w:rsid w:val="00547983"/>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D35"/>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325"/>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4FB6"/>
    <w:rsid w:val="00565625"/>
    <w:rsid w:val="00565959"/>
    <w:rsid w:val="00565C36"/>
    <w:rsid w:val="00565C47"/>
    <w:rsid w:val="0056622C"/>
    <w:rsid w:val="005663AE"/>
    <w:rsid w:val="005664C3"/>
    <w:rsid w:val="00566B42"/>
    <w:rsid w:val="00566C27"/>
    <w:rsid w:val="005675DB"/>
    <w:rsid w:val="005678DB"/>
    <w:rsid w:val="005679D7"/>
    <w:rsid w:val="00567FF8"/>
    <w:rsid w:val="00570114"/>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FB"/>
    <w:rsid w:val="00574D67"/>
    <w:rsid w:val="00575307"/>
    <w:rsid w:val="00575363"/>
    <w:rsid w:val="005755AC"/>
    <w:rsid w:val="00575610"/>
    <w:rsid w:val="005756F0"/>
    <w:rsid w:val="00575922"/>
    <w:rsid w:val="00575AE5"/>
    <w:rsid w:val="00575CDC"/>
    <w:rsid w:val="00575E82"/>
    <w:rsid w:val="00575F09"/>
    <w:rsid w:val="00576A27"/>
    <w:rsid w:val="00576D33"/>
    <w:rsid w:val="00576D43"/>
    <w:rsid w:val="00576D68"/>
    <w:rsid w:val="00576FB2"/>
    <w:rsid w:val="0057781E"/>
    <w:rsid w:val="005779E9"/>
    <w:rsid w:val="00580071"/>
    <w:rsid w:val="00580205"/>
    <w:rsid w:val="00580258"/>
    <w:rsid w:val="005803EC"/>
    <w:rsid w:val="0058042D"/>
    <w:rsid w:val="0058058E"/>
    <w:rsid w:val="00580ABE"/>
    <w:rsid w:val="00580FEE"/>
    <w:rsid w:val="005813F8"/>
    <w:rsid w:val="005814C3"/>
    <w:rsid w:val="00581AFA"/>
    <w:rsid w:val="00581CDC"/>
    <w:rsid w:val="0058208A"/>
    <w:rsid w:val="0058213D"/>
    <w:rsid w:val="005826E1"/>
    <w:rsid w:val="00582809"/>
    <w:rsid w:val="00582835"/>
    <w:rsid w:val="00582A8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6D03"/>
    <w:rsid w:val="0058709F"/>
    <w:rsid w:val="00587170"/>
    <w:rsid w:val="0058775E"/>
    <w:rsid w:val="00587FAE"/>
    <w:rsid w:val="005908E5"/>
    <w:rsid w:val="0059099D"/>
    <w:rsid w:val="00590BD4"/>
    <w:rsid w:val="00590E48"/>
    <w:rsid w:val="00590ECA"/>
    <w:rsid w:val="0059141E"/>
    <w:rsid w:val="00591524"/>
    <w:rsid w:val="00591D51"/>
    <w:rsid w:val="00591DDC"/>
    <w:rsid w:val="0059214B"/>
    <w:rsid w:val="005921F9"/>
    <w:rsid w:val="005924B2"/>
    <w:rsid w:val="0059264E"/>
    <w:rsid w:val="005927E1"/>
    <w:rsid w:val="00593543"/>
    <w:rsid w:val="00593A72"/>
    <w:rsid w:val="00593C9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640"/>
    <w:rsid w:val="00595755"/>
    <w:rsid w:val="005958AD"/>
    <w:rsid w:val="00595BAD"/>
    <w:rsid w:val="00595C5E"/>
    <w:rsid w:val="005961BD"/>
    <w:rsid w:val="0059666C"/>
    <w:rsid w:val="005967D1"/>
    <w:rsid w:val="00596DA9"/>
    <w:rsid w:val="00596E03"/>
    <w:rsid w:val="0059705E"/>
    <w:rsid w:val="0059715D"/>
    <w:rsid w:val="005972B6"/>
    <w:rsid w:val="00597B5B"/>
    <w:rsid w:val="005A012A"/>
    <w:rsid w:val="005A0222"/>
    <w:rsid w:val="005A039A"/>
    <w:rsid w:val="005A03E8"/>
    <w:rsid w:val="005A0501"/>
    <w:rsid w:val="005A0A53"/>
    <w:rsid w:val="005A0D02"/>
    <w:rsid w:val="005A0E02"/>
    <w:rsid w:val="005A1842"/>
    <w:rsid w:val="005A1A64"/>
    <w:rsid w:val="005A1C91"/>
    <w:rsid w:val="005A1FF4"/>
    <w:rsid w:val="005A232E"/>
    <w:rsid w:val="005A233F"/>
    <w:rsid w:val="005A2D7B"/>
    <w:rsid w:val="005A2D86"/>
    <w:rsid w:val="005A3160"/>
    <w:rsid w:val="005A31F4"/>
    <w:rsid w:val="005A32EC"/>
    <w:rsid w:val="005A3364"/>
    <w:rsid w:val="005A33D8"/>
    <w:rsid w:val="005A354C"/>
    <w:rsid w:val="005A3AC7"/>
    <w:rsid w:val="005A3F02"/>
    <w:rsid w:val="005A4479"/>
    <w:rsid w:val="005A464C"/>
    <w:rsid w:val="005A465A"/>
    <w:rsid w:val="005A47AC"/>
    <w:rsid w:val="005A4810"/>
    <w:rsid w:val="005A48F9"/>
    <w:rsid w:val="005A4B92"/>
    <w:rsid w:val="005A4D54"/>
    <w:rsid w:val="005A5302"/>
    <w:rsid w:val="005A597F"/>
    <w:rsid w:val="005A5997"/>
    <w:rsid w:val="005A5CE4"/>
    <w:rsid w:val="005A693F"/>
    <w:rsid w:val="005A6963"/>
    <w:rsid w:val="005A6AD2"/>
    <w:rsid w:val="005A72FB"/>
    <w:rsid w:val="005A746A"/>
    <w:rsid w:val="005A74B4"/>
    <w:rsid w:val="005A759A"/>
    <w:rsid w:val="005A7A93"/>
    <w:rsid w:val="005A7F6F"/>
    <w:rsid w:val="005B0336"/>
    <w:rsid w:val="005B0562"/>
    <w:rsid w:val="005B0883"/>
    <w:rsid w:val="005B0D51"/>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4506"/>
    <w:rsid w:val="005B46B3"/>
    <w:rsid w:val="005B47E1"/>
    <w:rsid w:val="005B4D54"/>
    <w:rsid w:val="005B4D98"/>
    <w:rsid w:val="005B510E"/>
    <w:rsid w:val="005B5170"/>
    <w:rsid w:val="005B55EB"/>
    <w:rsid w:val="005B58DB"/>
    <w:rsid w:val="005B5D09"/>
    <w:rsid w:val="005B6439"/>
    <w:rsid w:val="005B6C58"/>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5A7"/>
    <w:rsid w:val="005C286F"/>
    <w:rsid w:val="005C2B7C"/>
    <w:rsid w:val="005C2CF7"/>
    <w:rsid w:val="005C306F"/>
    <w:rsid w:val="005C35A0"/>
    <w:rsid w:val="005C38B5"/>
    <w:rsid w:val="005C3ACD"/>
    <w:rsid w:val="005C3DD3"/>
    <w:rsid w:val="005C3DE8"/>
    <w:rsid w:val="005C429E"/>
    <w:rsid w:val="005C456E"/>
    <w:rsid w:val="005C47F7"/>
    <w:rsid w:val="005C504D"/>
    <w:rsid w:val="005C5A44"/>
    <w:rsid w:val="005C5BE0"/>
    <w:rsid w:val="005C5D37"/>
    <w:rsid w:val="005C5FC6"/>
    <w:rsid w:val="005C6357"/>
    <w:rsid w:val="005C65DD"/>
    <w:rsid w:val="005C6641"/>
    <w:rsid w:val="005C675D"/>
    <w:rsid w:val="005C69F4"/>
    <w:rsid w:val="005C6C28"/>
    <w:rsid w:val="005C7026"/>
    <w:rsid w:val="005C7F61"/>
    <w:rsid w:val="005D0036"/>
    <w:rsid w:val="005D01F8"/>
    <w:rsid w:val="005D06CD"/>
    <w:rsid w:val="005D080D"/>
    <w:rsid w:val="005D0922"/>
    <w:rsid w:val="005D0BEB"/>
    <w:rsid w:val="005D0ECC"/>
    <w:rsid w:val="005D1339"/>
    <w:rsid w:val="005D181D"/>
    <w:rsid w:val="005D18B2"/>
    <w:rsid w:val="005D1D45"/>
    <w:rsid w:val="005D295E"/>
    <w:rsid w:val="005D2CEC"/>
    <w:rsid w:val="005D2D36"/>
    <w:rsid w:val="005D310B"/>
    <w:rsid w:val="005D318C"/>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4E6"/>
    <w:rsid w:val="005D75F6"/>
    <w:rsid w:val="005D7700"/>
    <w:rsid w:val="005D7C00"/>
    <w:rsid w:val="005E0078"/>
    <w:rsid w:val="005E090A"/>
    <w:rsid w:val="005E0964"/>
    <w:rsid w:val="005E0B62"/>
    <w:rsid w:val="005E0DB8"/>
    <w:rsid w:val="005E1346"/>
    <w:rsid w:val="005E1769"/>
    <w:rsid w:val="005E1850"/>
    <w:rsid w:val="005E1888"/>
    <w:rsid w:val="005E1B2D"/>
    <w:rsid w:val="005E1B4D"/>
    <w:rsid w:val="005E1E12"/>
    <w:rsid w:val="005E2122"/>
    <w:rsid w:val="005E29E6"/>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148"/>
    <w:rsid w:val="0060223B"/>
    <w:rsid w:val="0060230A"/>
    <w:rsid w:val="00602761"/>
    <w:rsid w:val="00602B12"/>
    <w:rsid w:val="00602BA0"/>
    <w:rsid w:val="00602D58"/>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A3B"/>
    <w:rsid w:val="00606BEA"/>
    <w:rsid w:val="00606D01"/>
    <w:rsid w:val="00607090"/>
    <w:rsid w:val="00607658"/>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484"/>
    <w:rsid w:val="006125AB"/>
    <w:rsid w:val="006129BB"/>
    <w:rsid w:val="00612AAF"/>
    <w:rsid w:val="00612E32"/>
    <w:rsid w:val="00612FC7"/>
    <w:rsid w:val="00612FE8"/>
    <w:rsid w:val="006134E5"/>
    <w:rsid w:val="00613543"/>
    <w:rsid w:val="00613988"/>
    <w:rsid w:val="00614497"/>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716F"/>
    <w:rsid w:val="006179E2"/>
    <w:rsid w:val="00617A84"/>
    <w:rsid w:val="00617D21"/>
    <w:rsid w:val="00617DC0"/>
    <w:rsid w:val="00617E3E"/>
    <w:rsid w:val="006201EF"/>
    <w:rsid w:val="00620238"/>
    <w:rsid w:val="00620611"/>
    <w:rsid w:val="00620B57"/>
    <w:rsid w:val="00620F51"/>
    <w:rsid w:val="00621177"/>
    <w:rsid w:val="006215B4"/>
    <w:rsid w:val="0062181F"/>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50C3"/>
    <w:rsid w:val="006359FC"/>
    <w:rsid w:val="00635A6B"/>
    <w:rsid w:val="00635D9E"/>
    <w:rsid w:val="00635EFB"/>
    <w:rsid w:val="00636345"/>
    <w:rsid w:val="00636AF5"/>
    <w:rsid w:val="00636CB8"/>
    <w:rsid w:val="00636EFE"/>
    <w:rsid w:val="006375AC"/>
    <w:rsid w:val="00637747"/>
    <w:rsid w:val="00637BD0"/>
    <w:rsid w:val="00637C54"/>
    <w:rsid w:val="006401B6"/>
    <w:rsid w:val="00640543"/>
    <w:rsid w:val="006405D5"/>
    <w:rsid w:val="00641064"/>
    <w:rsid w:val="006416F4"/>
    <w:rsid w:val="00641D60"/>
    <w:rsid w:val="00641E93"/>
    <w:rsid w:val="00641EA9"/>
    <w:rsid w:val="00641ED1"/>
    <w:rsid w:val="0064257E"/>
    <w:rsid w:val="00642760"/>
    <w:rsid w:val="0064276F"/>
    <w:rsid w:val="00642E2E"/>
    <w:rsid w:val="00642E6E"/>
    <w:rsid w:val="006431E8"/>
    <w:rsid w:val="0064403A"/>
    <w:rsid w:val="0064408E"/>
    <w:rsid w:val="006443BD"/>
    <w:rsid w:val="00644EC7"/>
    <w:rsid w:val="006450B9"/>
    <w:rsid w:val="006454E3"/>
    <w:rsid w:val="00645525"/>
    <w:rsid w:val="006458BB"/>
    <w:rsid w:val="00645A59"/>
    <w:rsid w:val="00645A5F"/>
    <w:rsid w:val="00645B64"/>
    <w:rsid w:val="00645BA1"/>
    <w:rsid w:val="00645E55"/>
    <w:rsid w:val="00646153"/>
    <w:rsid w:val="00646421"/>
    <w:rsid w:val="00646528"/>
    <w:rsid w:val="00646665"/>
    <w:rsid w:val="0064687C"/>
    <w:rsid w:val="00646BC2"/>
    <w:rsid w:val="006471E4"/>
    <w:rsid w:val="00647454"/>
    <w:rsid w:val="00647A89"/>
    <w:rsid w:val="00647DD2"/>
    <w:rsid w:val="00647F41"/>
    <w:rsid w:val="00650319"/>
    <w:rsid w:val="0065053D"/>
    <w:rsid w:val="006509B6"/>
    <w:rsid w:val="00650A76"/>
    <w:rsid w:val="00650A8D"/>
    <w:rsid w:val="00650D5D"/>
    <w:rsid w:val="00650F2D"/>
    <w:rsid w:val="00650FE7"/>
    <w:rsid w:val="006515CB"/>
    <w:rsid w:val="00651602"/>
    <w:rsid w:val="00651AA0"/>
    <w:rsid w:val="00651AA4"/>
    <w:rsid w:val="006520DE"/>
    <w:rsid w:val="00652135"/>
    <w:rsid w:val="006521C7"/>
    <w:rsid w:val="006522F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5041"/>
    <w:rsid w:val="00655233"/>
    <w:rsid w:val="00655369"/>
    <w:rsid w:val="006556D8"/>
    <w:rsid w:val="00655911"/>
    <w:rsid w:val="006559D6"/>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4045"/>
    <w:rsid w:val="00664173"/>
    <w:rsid w:val="00665C0E"/>
    <w:rsid w:val="00665EDD"/>
    <w:rsid w:val="00665FD1"/>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9AA"/>
    <w:rsid w:val="00674D4D"/>
    <w:rsid w:val="00674F7A"/>
    <w:rsid w:val="00675018"/>
    <w:rsid w:val="0067510C"/>
    <w:rsid w:val="0067555B"/>
    <w:rsid w:val="00675F54"/>
    <w:rsid w:val="00676102"/>
    <w:rsid w:val="00676382"/>
    <w:rsid w:val="006769BC"/>
    <w:rsid w:val="00676B7D"/>
    <w:rsid w:val="00676C66"/>
    <w:rsid w:val="00676C78"/>
    <w:rsid w:val="00676D63"/>
    <w:rsid w:val="00676EA5"/>
    <w:rsid w:val="00676F50"/>
    <w:rsid w:val="006772ED"/>
    <w:rsid w:val="00677D77"/>
    <w:rsid w:val="00677E01"/>
    <w:rsid w:val="00677FC7"/>
    <w:rsid w:val="00680167"/>
    <w:rsid w:val="00680273"/>
    <w:rsid w:val="006806EE"/>
    <w:rsid w:val="00680836"/>
    <w:rsid w:val="00680A32"/>
    <w:rsid w:val="00680F3D"/>
    <w:rsid w:val="0068134C"/>
    <w:rsid w:val="006816AA"/>
    <w:rsid w:val="006818D9"/>
    <w:rsid w:val="00681A7F"/>
    <w:rsid w:val="00682014"/>
    <w:rsid w:val="00682166"/>
    <w:rsid w:val="00682257"/>
    <w:rsid w:val="0068225D"/>
    <w:rsid w:val="006826AD"/>
    <w:rsid w:val="006828E4"/>
    <w:rsid w:val="00682B4D"/>
    <w:rsid w:val="00682C42"/>
    <w:rsid w:val="00682C98"/>
    <w:rsid w:val="006834C6"/>
    <w:rsid w:val="00683680"/>
    <w:rsid w:val="0068383F"/>
    <w:rsid w:val="00683ABC"/>
    <w:rsid w:val="00683C91"/>
    <w:rsid w:val="00683E10"/>
    <w:rsid w:val="00683E15"/>
    <w:rsid w:val="00683E62"/>
    <w:rsid w:val="006840D1"/>
    <w:rsid w:val="006843DF"/>
    <w:rsid w:val="0068458B"/>
    <w:rsid w:val="00684CF0"/>
    <w:rsid w:val="00684DCE"/>
    <w:rsid w:val="0068556D"/>
    <w:rsid w:val="00685643"/>
    <w:rsid w:val="00685690"/>
    <w:rsid w:val="00685E78"/>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AA1"/>
    <w:rsid w:val="00693C6D"/>
    <w:rsid w:val="00693C7B"/>
    <w:rsid w:val="006947F0"/>
    <w:rsid w:val="00694A0D"/>
    <w:rsid w:val="00694B98"/>
    <w:rsid w:val="00694DD0"/>
    <w:rsid w:val="0069529C"/>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3A9"/>
    <w:rsid w:val="006973DD"/>
    <w:rsid w:val="006976BF"/>
    <w:rsid w:val="006979BB"/>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2271"/>
    <w:rsid w:val="006A2481"/>
    <w:rsid w:val="006A24E7"/>
    <w:rsid w:val="006A27F5"/>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76A"/>
    <w:rsid w:val="006A6FC3"/>
    <w:rsid w:val="006A7449"/>
    <w:rsid w:val="006A75E3"/>
    <w:rsid w:val="006A761B"/>
    <w:rsid w:val="006A79F6"/>
    <w:rsid w:val="006A7C36"/>
    <w:rsid w:val="006B036C"/>
    <w:rsid w:val="006B04FD"/>
    <w:rsid w:val="006B09C0"/>
    <w:rsid w:val="006B0A44"/>
    <w:rsid w:val="006B0A6D"/>
    <w:rsid w:val="006B0C12"/>
    <w:rsid w:val="006B0D33"/>
    <w:rsid w:val="006B1552"/>
    <w:rsid w:val="006B1B56"/>
    <w:rsid w:val="006B1F08"/>
    <w:rsid w:val="006B2203"/>
    <w:rsid w:val="006B26B9"/>
    <w:rsid w:val="006B26C3"/>
    <w:rsid w:val="006B2C91"/>
    <w:rsid w:val="006B2EEA"/>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EE"/>
    <w:rsid w:val="006C2260"/>
    <w:rsid w:val="006C2585"/>
    <w:rsid w:val="006C2962"/>
    <w:rsid w:val="006C2A1C"/>
    <w:rsid w:val="006C2DA3"/>
    <w:rsid w:val="006C2F43"/>
    <w:rsid w:val="006C316C"/>
    <w:rsid w:val="006C352F"/>
    <w:rsid w:val="006C35FA"/>
    <w:rsid w:val="006C3B05"/>
    <w:rsid w:val="006C3B08"/>
    <w:rsid w:val="006C3E29"/>
    <w:rsid w:val="006C3ED0"/>
    <w:rsid w:val="006C443B"/>
    <w:rsid w:val="006C45B1"/>
    <w:rsid w:val="006C4766"/>
    <w:rsid w:val="006C5088"/>
    <w:rsid w:val="006C531F"/>
    <w:rsid w:val="006C53B7"/>
    <w:rsid w:val="006C5808"/>
    <w:rsid w:val="006C583E"/>
    <w:rsid w:val="006C65C5"/>
    <w:rsid w:val="006C685F"/>
    <w:rsid w:val="006C6B4F"/>
    <w:rsid w:val="006C6DFD"/>
    <w:rsid w:val="006C71A9"/>
    <w:rsid w:val="006C71BD"/>
    <w:rsid w:val="006C72F8"/>
    <w:rsid w:val="006C7520"/>
    <w:rsid w:val="006C77E4"/>
    <w:rsid w:val="006C7A84"/>
    <w:rsid w:val="006C7F35"/>
    <w:rsid w:val="006C7F49"/>
    <w:rsid w:val="006D0855"/>
    <w:rsid w:val="006D0972"/>
    <w:rsid w:val="006D1186"/>
    <w:rsid w:val="006D1450"/>
    <w:rsid w:val="006D152F"/>
    <w:rsid w:val="006D1635"/>
    <w:rsid w:val="006D16EF"/>
    <w:rsid w:val="006D1C3C"/>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5431"/>
    <w:rsid w:val="006D5702"/>
    <w:rsid w:val="006D5F61"/>
    <w:rsid w:val="006D6463"/>
    <w:rsid w:val="006D651C"/>
    <w:rsid w:val="006D6525"/>
    <w:rsid w:val="006D6632"/>
    <w:rsid w:val="006D6AD3"/>
    <w:rsid w:val="006D768D"/>
    <w:rsid w:val="006D77BC"/>
    <w:rsid w:val="006D790F"/>
    <w:rsid w:val="006D7BB2"/>
    <w:rsid w:val="006D7F44"/>
    <w:rsid w:val="006E015F"/>
    <w:rsid w:val="006E02CA"/>
    <w:rsid w:val="006E0444"/>
    <w:rsid w:val="006E07D1"/>
    <w:rsid w:val="006E0851"/>
    <w:rsid w:val="006E09C6"/>
    <w:rsid w:val="006E0AE8"/>
    <w:rsid w:val="006E0E45"/>
    <w:rsid w:val="006E156A"/>
    <w:rsid w:val="006E17AC"/>
    <w:rsid w:val="006E17C8"/>
    <w:rsid w:val="006E1A7E"/>
    <w:rsid w:val="006E1A97"/>
    <w:rsid w:val="006E1B2F"/>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2D6"/>
    <w:rsid w:val="006E64B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DE4"/>
    <w:rsid w:val="006F509C"/>
    <w:rsid w:val="006F53AC"/>
    <w:rsid w:val="006F53F8"/>
    <w:rsid w:val="006F5B52"/>
    <w:rsid w:val="006F5CB1"/>
    <w:rsid w:val="006F6323"/>
    <w:rsid w:val="006F6B16"/>
    <w:rsid w:val="006F6D72"/>
    <w:rsid w:val="006F6DB9"/>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E"/>
    <w:rsid w:val="00702B98"/>
    <w:rsid w:val="00702BD1"/>
    <w:rsid w:val="007030D1"/>
    <w:rsid w:val="00703891"/>
    <w:rsid w:val="00703C5E"/>
    <w:rsid w:val="00703E8B"/>
    <w:rsid w:val="0070455C"/>
    <w:rsid w:val="0070473C"/>
    <w:rsid w:val="00704F80"/>
    <w:rsid w:val="00705385"/>
    <w:rsid w:val="007057E9"/>
    <w:rsid w:val="00705958"/>
    <w:rsid w:val="00705C55"/>
    <w:rsid w:val="00706500"/>
    <w:rsid w:val="00706B89"/>
    <w:rsid w:val="00707456"/>
    <w:rsid w:val="007077F3"/>
    <w:rsid w:val="00707A03"/>
    <w:rsid w:val="00707BDE"/>
    <w:rsid w:val="00710143"/>
    <w:rsid w:val="00710173"/>
    <w:rsid w:val="00710945"/>
    <w:rsid w:val="00710AB1"/>
    <w:rsid w:val="00710BDA"/>
    <w:rsid w:val="00710F61"/>
    <w:rsid w:val="00710F75"/>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E"/>
    <w:rsid w:val="007167F1"/>
    <w:rsid w:val="00716B06"/>
    <w:rsid w:val="00716C76"/>
    <w:rsid w:val="00716D13"/>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149C"/>
    <w:rsid w:val="0072171F"/>
    <w:rsid w:val="0072182E"/>
    <w:rsid w:val="00722493"/>
    <w:rsid w:val="0072257B"/>
    <w:rsid w:val="00722E44"/>
    <w:rsid w:val="00722F63"/>
    <w:rsid w:val="007233EF"/>
    <w:rsid w:val="007234F0"/>
    <w:rsid w:val="00723719"/>
    <w:rsid w:val="00724144"/>
    <w:rsid w:val="00724362"/>
    <w:rsid w:val="007248ED"/>
    <w:rsid w:val="00724CDF"/>
    <w:rsid w:val="00724CF6"/>
    <w:rsid w:val="00725032"/>
    <w:rsid w:val="007251DD"/>
    <w:rsid w:val="007256BA"/>
    <w:rsid w:val="0072594A"/>
    <w:rsid w:val="00725D6A"/>
    <w:rsid w:val="00726090"/>
    <w:rsid w:val="00726140"/>
    <w:rsid w:val="007263F0"/>
    <w:rsid w:val="0072649C"/>
    <w:rsid w:val="00726A0F"/>
    <w:rsid w:val="00726D3A"/>
    <w:rsid w:val="00726E20"/>
    <w:rsid w:val="0072777C"/>
    <w:rsid w:val="00727BCF"/>
    <w:rsid w:val="00727DC1"/>
    <w:rsid w:val="007304A5"/>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818"/>
    <w:rsid w:val="00734A01"/>
    <w:rsid w:val="00734D48"/>
    <w:rsid w:val="00734E9B"/>
    <w:rsid w:val="00734EC1"/>
    <w:rsid w:val="007353A9"/>
    <w:rsid w:val="00735535"/>
    <w:rsid w:val="0073589B"/>
    <w:rsid w:val="00735992"/>
    <w:rsid w:val="00735D67"/>
    <w:rsid w:val="00735E40"/>
    <w:rsid w:val="00736346"/>
    <w:rsid w:val="007365F3"/>
    <w:rsid w:val="0073677B"/>
    <w:rsid w:val="0073688F"/>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8E1"/>
    <w:rsid w:val="00741A23"/>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2247"/>
    <w:rsid w:val="007522A6"/>
    <w:rsid w:val="007522BA"/>
    <w:rsid w:val="0075260F"/>
    <w:rsid w:val="00752621"/>
    <w:rsid w:val="0075273C"/>
    <w:rsid w:val="00753366"/>
    <w:rsid w:val="00753490"/>
    <w:rsid w:val="007537A2"/>
    <w:rsid w:val="0075385E"/>
    <w:rsid w:val="00753988"/>
    <w:rsid w:val="00753A38"/>
    <w:rsid w:val="00754086"/>
    <w:rsid w:val="00754128"/>
    <w:rsid w:val="007542CF"/>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E64"/>
    <w:rsid w:val="0076202F"/>
    <w:rsid w:val="007626A6"/>
    <w:rsid w:val="0076276A"/>
    <w:rsid w:val="00762BB8"/>
    <w:rsid w:val="00762D63"/>
    <w:rsid w:val="00762DF1"/>
    <w:rsid w:val="007633FC"/>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1D11"/>
    <w:rsid w:val="00772240"/>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889"/>
    <w:rsid w:val="00780BDF"/>
    <w:rsid w:val="00780CF8"/>
    <w:rsid w:val="00781654"/>
    <w:rsid w:val="00781F8F"/>
    <w:rsid w:val="00782574"/>
    <w:rsid w:val="00782623"/>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17F"/>
    <w:rsid w:val="007853B4"/>
    <w:rsid w:val="007858B5"/>
    <w:rsid w:val="00785A03"/>
    <w:rsid w:val="00785A5C"/>
    <w:rsid w:val="00785E87"/>
    <w:rsid w:val="00786134"/>
    <w:rsid w:val="0078616A"/>
    <w:rsid w:val="007861F6"/>
    <w:rsid w:val="0078624D"/>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C17"/>
    <w:rsid w:val="0079635B"/>
    <w:rsid w:val="00796472"/>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A72"/>
    <w:rsid w:val="007A1B06"/>
    <w:rsid w:val="007A1FFA"/>
    <w:rsid w:val="007A2713"/>
    <w:rsid w:val="007A2B55"/>
    <w:rsid w:val="007A2CDB"/>
    <w:rsid w:val="007A2E22"/>
    <w:rsid w:val="007A2EC8"/>
    <w:rsid w:val="007A34A0"/>
    <w:rsid w:val="007A34A3"/>
    <w:rsid w:val="007A3521"/>
    <w:rsid w:val="007A359A"/>
    <w:rsid w:val="007A378D"/>
    <w:rsid w:val="007A3A16"/>
    <w:rsid w:val="007A3CC5"/>
    <w:rsid w:val="007A3CD8"/>
    <w:rsid w:val="007A468F"/>
    <w:rsid w:val="007A48F7"/>
    <w:rsid w:val="007A4ABF"/>
    <w:rsid w:val="007A4E8D"/>
    <w:rsid w:val="007A5AF9"/>
    <w:rsid w:val="007A5F0E"/>
    <w:rsid w:val="007A62F5"/>
    <w:rsid w:val="007A681E"/>
    <w:rsid w:val="007A6AC3"/>
    <w:rsid w:val="007A6BAD"/>
    <w:rsid w:val="007A6BD3"/>
    <w:rsid w:val="007A6E00"/>
    <w:rsid w:val="007A6F65"/>
    <w:rsid w:val="007A7019"/>
    <w:rsid w:val="007A71ED"/>
    <w:rsid w:val="007A752E"/>
    <w:rsid w:val="007A765A"/>
    <w:rsid w:val="007A7A58"/>
    <w:rsid w:val="007A7B3E"/>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F94"/>
    <w:rsid w:val="007B3034"/>
    <w:rsid w:val="007B32C6"/>
    <w:rsid w:val="007B3400"/>
    <w:rsid w:val="007B359C"/>
    <w:rsid w:val="007B37DB"/>
    <w:rsid w:val="007B3C3E"/>
    <w:rsid w:val="007B3F9E"/>
    <w:rsid w:val="007B4508"/>
    <w:rsid w:val="007B4637"/>
    <w:rsid w:val="007B48A2"/>
    <w:rsid w:val="007B4AD4"/>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7F2"/>
    <w:rsid w:val="007B7C4F"/>
    <w:rsid w:val="007B7F65"/>
    <w:rsid w:val="007C066E"/>
    <w:rsid w:val="007C0844"/>
    <w:rsid w:val="007C0C49"/>
    <w:rsid w:val="007C0DF7"/>
    <w:rsid w:val="007C12F0"/>
    <w:rsid w:val="007C15B9"/>
    <w:rsid w:val="007C16D7"/>
    <w:rsid w:val="007C1CA9"/>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CF"/>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594"/>
    <w:rsid w:val="007D55C5"/>
    <w:rsid w:val="007D566A"/>
    <w:rsid w:val="007D588E"/>
    <w:rsid w:val="007D5EC1"/>
    <w:rsid w:val="007D632A"/>
    <w:rsid w:val="007D636B"/>
    <w:rsid w:val="007D68F7"/>
    <w:rsid w:val="007D6A31"/>
    <w:rsid w:val="007D6A33"/>
    <w:rsid w:val="007D6B45"/>
    <w:rsid w:val="007D7615"/>
    <w:rsid w:val="007D7778"/>
    <w:rsid w:val="007D7B7C"/>
    <w:rsid w:val="007E0045"/>
    <w:rsid w:val="007E02D5"/>
    <w:rsid w:val="007E0F88"/>
    <w:rsid w:val="007E119E"/>
    <w:rsid w:val="007E123C"/>
    <w:rsid w:val="007E150C"/>
    <w:rsid w:val="007E1C32"/>
    <w:rsid w:val="007E23F8"/>
    <w:rsid w:val="007E240B"/>
    <w:rsid w:val="007E24C9"/>
    <w:rsid w:val="007E2772"/>
    <w:rsid w:val="007E2C20"/>
    <w:rsid w:val="007E3AF4"/>
    <w:rsid w:val="007E4555"/>
    <w:rsid w:val="007E483B"/>
    <w:rsid w:val="007E4AC7"/>
    <w:rsid w:val="007E4B34"/>
    <w:rsid w:val="007E4DA4"/>
    <w:rsid w:val="007E4DF0"/>
    <w:rsid w:val="007E5079"/>
    <w:rsid w:val="007E5151"/>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9A9"/>
    <w:rsid w:val="007F3DD4"/>
    <w:rsid w:val="007F3F32"/>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3F1"/>
    <w:rsid w:val="007F7512"/>
    <w:rsid w:val="007F75B2"/>
    <w:rsid w:val="007F75C9"/>
    <w:rsid w:val="007F75E6"/>
    <w:rsid w:val="007F7A4A"/>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793"/>
    <w:rsid w:val="0081384A"/>
    <w:rsid w:val="008138F8"/>
    <w:rsid w:val="00813D86"/>
    <w:rsid w:val="00813EBD"/>
    <w:rsid w:val="008143FD"/>
    <w:rsid w:val="00814955"/>
    <w:rsid w:val="00814CC0"/>
    <w:rsid w:val="00814F24"/>
    <w:rsid w:val="00814F70"/>
    <w:rsid w:val="008153C6"/>
    <w:rsid w:val="008154E3"/>
    <w:rsid w:val="0081554E"/>
    <w:rsid w:val="00815734"/>
    <w:rsid w:val="00815E46"/>
    <w:rsid w:val="008161D7"/>
    <w:rsid w:val="008163B6"/>
    <w:rsid w:val="00816569"/>
    <w:rsid w:val="0081664E"/>
    <w:rsid w:val="00816793"/>
    <w:rsid w:val="00817130"/>
    <w:rsid w:val="0081739E"/>
    <w:rsid w:val="00817658"/>
    <w:rsid w:val="0081778A"/>
    <w:rsid w:val="00817911"/>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8BA"/>
    <w:rsid w:val="00825FE6"/>
    <w:rsid w:val="0082607F"/>
    <w:rsid w:val="00826474"/>
    <w:rsid w:val="00826987"/>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4C2A"/>
    <w:rsid w:val="00835393"/>
    <w:rsid w:val="0083545E"/>
    <w:rsid w:val="00835815"/>
    <w:rsid w:val="00835E81"/>
    <w:rsid w:val="0083602C"/>
    <w:rsid w:val="008368E0"/>
    <w:rsid w:val="00836A4B"/>
    <w:rsid w:val="00836BCB"/>
    <w:rsid w:val="00836DD4"/>
    <w:rsid w:val="008370A0"/>
    <w:rsid w:val="008370A1"/>
    <w:rsid w:val="00837331"/>
    <w:rsid w:val="00837AA8"/>
    <w:rsid w:val="00837AAE"/>
    <w:rsid w:val="00837D4C"/>
    <w:rsid w:val="008401CC"/>
    <w:rsid w:val="00840845"/>
    <w:rsid w:val="0084099E"/>
    <w:rsid w:val="00840B60"/>
    <w:rsid w:val="00840E61"/>
    <w:rsid w:val="008410E8"/>
    <w:rsid w:val="008411F2"/>
    <w:rsid w:val="008414FC"/>
    <w:rsid w:val="00841639"/>
    <w:rsid w:val="00841644"/>
    <w:rsid w:val="00841842"/>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A2A"/>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D15"/>
    <w:rsid w:val="008540DB"/>
    <w:rsid w:val="008541E7"/>
    <w:rsid w:val="00854217"/>
    <w:rsid w:val="008544AC"/>
    <w:rsid w:val="00854503"/>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60073"/>
    <w:rsid w:val="00860368"/>
    <w:rsid w:val="00860707"/>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EA5"/>
    <w:rsid w:val="00867C69"/>
    <w:rsid w:val="00870358"/>
    <w:rsid w:val="00870A9D"/>
    <w:rsid w:val="00870DF8"/>
    <w:rsid w:val="00871139"/>
    <w:rsid w:val="008712BE"/>
    <w:rsid w:val="0087138F"/>
    <w:rsid w:val="00871633"/>
    <w:rsid w:val="00871675"/>
    <w:rsid w:val="00871A41"/>
    <w:rsid w:val="00871BF9"/>
    <w:rsid w:val="00871D1D"/>
    <w:rsid w:val="008721D6"/>
    <w:rsid w:val="00872606"/>
    <w:rsid w:val="00872729"/>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77"/>
    <w:rsid w:val="00874EB4"/>
    <w:rsid w:val="00875062"/>
    <w:rsid w:val="00875508"/>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B"/>
    <w:rsid w:val="00882BE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899"/>
    <w:rsid w:val="0089198C"/>
    <w:rsid w:val="00891B64"/>
    <w:rsid w:val="00891CA7"/>
    <w:rsid w:val="00891F0C"/>
    <w:rsid w:val="00892217"/>
    <w:rsid w:val="00892553"/>
    <w:rsid w:val="00892AFB"/>
    <w:rsid w:val="00893136"/>
    <w:rsid w:val="00893205"/>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9EF"/>
    <w:rsid w:val="00895A26"/>
    <w:rsid w:val="00895A63"/>
    <w:rsid w:val="00895C6F"/>
    <w:rsid w:val="00895EDC"/>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3A5"/>
    <w:rsid w:val="008A3514"/>
    <w:rsid w:val="008A3898"/>
    <w:rsid w:val="008A3991"/>
    <w:rsid w:val="008A39B4"/>
    <w:rsid w:val="008A3AB0"/>
    <w:rsid w:val="008A3AD6"/>
    <w:rsid w:val="008A3AFD"/>
    <w:rsid w:val="008A3EF1"/>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7B3"/>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C78"/>
    <w:rsid w:val="008B4EA1"/>
    <w:rsid w:val="008B4F62"/>
    <w:rsid w:val="008B52AC"/>
    <w:rsid w:val="008B52F3"/>
    <w:rsid w:val="008B5619"/>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505"/>
    <w:rsid w:val="008C0AC1"/>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D01D3"/>
    <w:rsid w:val="008D02B4"/>
    <w:rsid w:val="008D02F0"/>
    <w:rsid w:val="008D0564"/>
    <w:rsid w:val="008D05CD"/>
    <w:rsid w:val="008D0E6D"/>
    <w:rsid w:val="008D0ED2"/>
    <w:rsid w:val="008D1512"/>
    <w:rsid w:val="008D1AF4"/>
    <w:rsid w:val="008D1D5E"/>
    <w:rsid w:val="008D1E21"/>
    <w:rsid w:val="008D1E95"/>
    <w:rsid w:val="008D2408"/>
    <w:rsid w:val="008D28EF"/>
    <w:rsid w:val="008D2918"/>
    <w:rsid w:val="008D2ECE"/>
    <w:rsid w:val="008D2EED"/>
    <w:rsid w:val="008D2FF2"/>
    <w:rsid w:val="008D311A"/>
    <w:rsid w:val="008D3ADA"/>
    <w:rsid w:val="008D3D41"/>
    <w:rsid w:val="008D3DE4"/>
    <w:rsid w:val="008D419A"/>
    <w:rsid w:val="008D4902"/>
    <w:rsid w:val="008D4979"/>
    <w:rsid w:val="008D4C59"/>
    <w:rsid w:val="008D4E09"/>
    <w:rsid w:val="008D51A3"/>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4"/>
    <w:rsid w:val="008E55D5"/>
    <w:rsid w:val="008E5796"/>
    <w:rsid w:val="008E59AC"/>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D2E"/>
    <w:rsid w:val="008F2523"/>
    <w:rsid w:val="008F2598"/>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6045"/>
    <w:rsid w:val="008F60EC"/>
    <w:rsid w:val="008F618B"/>
    <w:rsid w:val="008F62E9"/>
    <w:rsid w:val="008F6400"/>
    <w:rsid w:val="008F66C9"/>
    <w:rsid w:val="008F671C"/>
    <w:rsid w:val="008F69CC"/>
    <w:rsid w:val="008F69FE"/>
    <w:rsid w:val="008F71A4"/>
    <w:rsid w:val="008F71BE"/>
    <w:rsid w:val="008F739B"/>
    <w:rsid w:val="008F750B"/>
    <w:rsid w:val="008F773E"/>
    <w:rsid w:val="008F7CA6"/>
    <w:rsid w:val="00900167"/>
    <w:rsid w:val="00900365"/>
    <w:rsid w:val="009004E9"/>
    <w:rsid w:val="00900654"/>
    <w:rsid w:val="009008DA"/>
    <w:rsid w:val="00900E73"/>
    <w:rsid w:val="00900F4F"/>
    <w:rsid w:val="009010D0"/>
    <w:rsid w:val="009013FD"/>
    <w:rsid w:val="009015A9"/>
    <w:rsid w:val="00901A6B"/>
    <w:rsid w:val="00901E84"/>
    <w:rsid w:val="00901FD8"/>
    <w:rsid w:val="009020DD"/>
    <w:rsid w:val="0090269D"/>
    <w:rsid w:val="009028AE"/>
    <w:rsid w:val="00902A67"/>
    <w:rsid w:val="00902F34"/>
    <w:rsid w:val="00903024"/>
    <w:rsid w:val="009034FC"/>
    <w:rsid w:val="0090375A"/>
    <w:rsid w:val="00903C02"/>
    <w:rsid w:val="00903CFB"/>
    <w:rsid w:val="00903D2F"/>
    <w:rsid w:val="00903D6F"/>
    <w:rsid w:val="00904467"/>
    <w:rsid w:val="00904795"/>
    <w:rsid w:val="00904A5D"/>
    <w:rsid w:val="00904D7E"/>
    <w:rsid w:val="009051CB"/>
    <w:rsid w:val="009054E6"/>
    <w:rsid w:val="009058B8"/>
    <w:rsid w:val="00905CFB"/>
    <w:rsid w:val="00906097"/>
    <w:rsid w:val="009065EC"/>
    <w:rsid w:val="00906616"/>
    <w:rsid w:val="00906914"/>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515"/>
    <w:rsid w:val="00914551"/>
    <w:rsid w:val="00914675"/>
    <w:rsid w:val="009147E3"/>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6DA6"/>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A66"/>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1ED"/>
    <w:rsid w:val="00942809"/>
    <w:rsid w:val="00942EE6"/>
    <w:rsid w:val="00942F41"/>
    <w:rsid w:val="00943004"/>
    <w:rsid w:val="00943811"/>
    <w:rsid w:val="00943F31"/>
    <w:rsid w:val="009440E4"/>
    <w:rsid w:val="00944130"/>
    <w:rsid w:val="009441D1"/>
    <w:rsid w:val="009449EB"/>
    <w:rsid w:val="00944E0B"/>
    <w:rsid w:val="00944FBA"/>
    <w:rsid w:val="00945037"/>
    <w:rsid w:val="009451E3"/>
    <w:rsid w:val="0094529B"/>
    <w:rsid w:val="00945B25"/>
    <w:rsid w:val="00945DE7"/>
    <w:rsid w:val="00945F2C"/>
    <w:rsid w:val="0094614B"/>
    <w:rsid w:val="009461DD"/>
    <w:rsid w:val="00946BED"/>
    <w:rsid w:val="0094704D"/>
    <w:rsid w:val="0094718E"/>
    <w:rsid w:val="009477F0"/>
    <w:rsid w:val="00947F1D"/>
    <w:rsid w:val="00947F4F"/>
    <w:rsid w:val="00950289"/>
    <w:rsid w:val="00950389"/>
    <w:rsid w:val="009503F5"/>
    <w:rsid w:val="00950523"/>
    <w:rsid w:val="0095069C"/>
    <w:rsid w:val="009508CB"/>
    <w:rsid w:val="00950D1A"/>
    <w:rsid w:val="00951525"/>
    <w:rsid w:val="00951666"/>
    <w:rsid w:val="00952047"/>
    <w:rsid w:val="009521BC"/>
    <w:rsid w:val="0095242A"/>
    <w:rsid w:val="00952B22"/>
    <w:rsid w:val="00952BE3"/>
    <w:rsid w:val="00952D8C"/>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8DB"/>
    <w:rsid w:val="0095596A"/>
    <w:rsid w:val="009559DE"/>
    <w:rsid w:val="00955EF3"/>
    <w:rsid w:val="00956266"/>
    <w:rsid w:val="009563CF"/>
    <w:rsid w:val="00956907"/>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28A"/>
    <w:rsid w:val="00961685"/>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355"/>
    <w:rsid w:val="009647F3"/>
    <w:rsid w:val="00964B17"/>
    <w:rsid w:val="00964CFF"/>
    <w:rsid w:val="00964F7B"/>
    <w:rsid w:val="00965230"/>
    <w:rsid w:val="00965617"/>
    <w:rsid w:val="00965953"/>
    <w:rsid w:val="00965B24"/>
    <w:rsid w:val="00965BD6"/>
    <w:rsid w:val="009660A3"/>
    <w:rsid w:val="009660D2"/>
    <w:rsid w:val="00966377"/>
    <w:rsid w:val="009666EF"/>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BC2"/>
    <w:rsid w:val="00970E23"/>
    <w:rsid w:val="00970E45"/>
    <w:rsid w:val="009711B2"/>
    <w:rsid w:val="009711B4"/>
    <w:rsid w:val="009714DF"/>
    <w:rsid w:val="009716C6"/>
    <w:rsid w:val="009716DC"/>
    <w:rsid w:val="0097172B"/>
    <w:rsid w:val="0097229F"/>
    <w:rsid w:val="00972413"/>
    <w:rsid w:val="00972523"/>
    <w:rsid w:val="009726DA"/>
    <w:rsid w:val="009732C3"/>
    <w:rsid w:val="009732EA"/>
    <w:rsid w:val="009733AA"/>
    <w:rsid w:val="00973607"/>
    <w:rsid w:val="00973612"/>
    <w:rsid w:val="00973F25"/>
    <w:rsid w:val="00974182"/>
    <w:rsid w:val="00974188"/>
    <w:rsid w:val="00974294"/>
    <w:rsid w:val="00974871"/>
    <w:rsid w:val="00974FCB"/>
    <w:rsid w:val="00975161"/>
    <w:rsid w:val="00975281"/>
    <w:rsid w:val="00975345"/>
    <w:rsid w:val="00975403"/>
    <w:rsid w:val="00975B4F"/>
    <w:rsid w:val="00975CAB"/>
    <w:rsid w:val="0097607C"/>
    <w:rsid w:val="009765E1"/>
    <w:rsid w:val="009766BC"/>
    <w:rsid w:val="00976DFF"/>
    <w:rsid w:val="00976EA2"/>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3958"/>
    <w:rsid w:val="00984484"/>
    <w:rsid w:val="0098455F"/>
    <w:rsid w:val="009848A7"/>
    <w:rsid w:val="00984A20"/>
    <w:rsid w:val="00984E99"/>
    <w:rsid w:val="00985670"/>
    <w:rsid w:val="009857F2"/>
    <w:rsid w:val="00985A3F"/>
    <w:rsid w:val="00985F95"/>
    <w:rsid w:val="00986572"/>
    <w:rsid w:val="00986AB2"/>
    <w:rsid w:val="00986DD5"/>
    <w:rsid w:val="00986F46"/>
    <w:rsid w:val="0098707D"/>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F04"/>
    <w:rsid w:val="009958DE"/>
    <w:rsid w:val="00995A67"/>
    <w:rsid w:val="00995C90"/>
    <w:rsid w:val="00995C94"/>
    <w:rsid w:val="00995CB1"/>
    <w:rsid w:val="00995D73"/>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C59"/>
    <w:rsid w:val="009A408C"/>
    <w:rsid w:val="009A4105"/>
    <w:rsid w:val="009A4307"/>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B8"/>
    <w:rsid w:val="009A75A3"/>
    <w:rsid w:val="009A7706"/>
    <w:rsid w:val="009B021B"/>
    <w:rsid w:val="009B06B5"/>
    <w:rsid w:val="009B091C"/>
    <w:rsid w:val="009B0E26"/>
    <w:rsid w:val="009B0F59"/>
    <w:rsid w:val="009B10A3"/>
    <w:rsid w:val="009B13AA"/>
    <w:rsid w:val="009B173F"/>
    <w:rsid w:val="009B1E80"/>
    <w:rsid w:val="009B1F55"/>
    <w:rsid w:val="009B28BF"/>
    <w:rsid w:val="009B2E36"/>
    <w:rsid w:val="009B32CB"/>
    <w:rsid w:val="009B394A"/>
    <w:rsid w:val="009B39E7"/>
    <w:rsid w:val="009B3C8F"/>
    <w:rsid w:val="009B3D01"/>
    <w:rsid w:val="009B42F7"/>
    <w:rsid w:val="009B472D"/>
    <w:rsid w:val="009B502B"/>
    <w:rsid w:val="009B52B7"/>
    <w:rsid w:val="009B579E"/>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BFD"/>
    <w:rsid w:val="009C0DA7"/>
    <w:rsid w:val="009C1406"/>
    <w:rsid w:val="009C160C"/>
    <w:rsid w:val="009C1E98"/>
    <w:rsid w:val="009C233A"/>
    <w:rsid w:val="009C282C"/>
    <w:rsid w:val="009C28E2"/>
    <w:rsid w:val="009C298E"/>
    <w:rsid w:val="009C2D7B"/>
    <w:rsid w:val="009C3036"/>
    <w:rsid w:val="009C3129"/>
    <w:rsid w:val="009C32C6"/>
    <w:rsid w:val="009C3612"/>
    <w:rsid w:val="009C3A2D"/>
    <w:rsid w:val="009C3AEA"/>
    <w:rsid w:val="009C3B8E"/>
    <w:rsid w:val="009C3CE7"/>
    <w:rsid w:val="009C3F82"/>
    <w:rsid w:val="009C4091"/>
    <w:rsid w:val="009C4200"/>
    <w:rsid w:val="009C4E0E"/>
    <w:rsid w:val="009C4E33"/>
    <w:rsid w:val="009C5497"/>
    <w:rsid w:val="009C564D"/>
    <w:rsid w:val="009C5A8B"/>
    <w:rsid w:val="009C5B88"/>
    <w:rsid w:val="009C608C"/>
    <w:rsid w:val="009C62A8"/>
    <w:rsid w:val="009C6A81"/>
    <w:rsid w:val="009C6CC9"/>
    <w:rsid w:val="009C6F57"/>
    <w:rsid w:val="009C77CC"/>
    <w:rsid w:val="009C78D2"/>
    <w:rsid w:val="009C7CCF"/>
    <w:rsid w:val="009D009C"/>
    <w:rsid w:val="009D019B"/>
    <w:rsid w:val="009D01A9"/>
    <w:rsid w:val="009D04FF"/>
    <w:rsid w:val="009D06D8"/>
    <w:rsid w:val="009D0F2E"/>
    <w:rsid w:val="009D0FFC"/>
    <w:rsid w:val="009D19D5"/>
    <w:rsid w:val="009D1B87"/>
    <w:rsid w:val="009D2367"/>
    <w:rsid w:val="009D2450"/>
    <w:rsid w:val="009D2AB9"/>
    <w:rsid w:val="009D2ABB"/>
    <w:rsid w:val="009D2F12"/>
    <w:rsid w:val="009D2F36"/>
    <w:rsid w:val="009D3236"/>
    <w:rsid w:val="009D32A2"/>
    <w:rsid w:val="009D471B"/>
    <w:rsid w:val="009D48DF"/>
    <w:rsid w:val="009D4E28"/>
    <w:rsid w:val="009D505B"/>
    <w:rsid w:val="009D506E"/>
    <w:rsid w:val="009D5612"/>
    <w:rsid w:val="009D5A36"/>
    <w:rsid w:val="009D6052"/>
    <w:rsid w:val="009D60F9"/>
    <w:rsid w:val="009D6891"/>
    <w:rsid w:val="009D6B72"/>
    <w:rsid w:val="009D6D2E"/>
    <w:rsid w:val="009D6E95"/>
    <w:rsid w:val="009D6F4C"/>
    <w:rsid w:val="009D7287"/>
    <w:rsid w:val="009D7386"/>
    <w:rsid w:val="009D7426"/>
    <w:rsid w:val="009D76DC"/>
    <w:rsid w:val="009D79B8"/>
    <w:rsid w:val="009D7D83"/>
    <w:rsid w:val="009E01FF"/>
    <w:rsid w:val="009E03EA"/>
    <w:rsid w:val="009E067B"/>
    <w:rsid w:val="009E0CCC"/>
    <w:rsid w:val="009E0E34"/>
    <w:rsid w:val="009E1027"/>
    <w:rsid w:val="009E1295"/>
    <w:rsid w:val="009E1908"/>
    <w:rsid w:val="009E1B7A"/>
    <w:rsid w:val="009E2AF5"/>
    <w:rsid w:val="009E2B7A"/>
    <w:rsid w:val="009E304E"/>
    <w:rsid w:val="009E3590"/>
    <w:rsid w:val="009E36BC"/>
    <w:rsid w:val="009E3E5E"/>
    <w:rsid w:val="009E4A2D"/>
    <w:rsid w:val="009E50C1"/>
    <w:rsid w:val="009E51DE"/>
    <w:rsid w:val="009E54FA"/>
    <w:rsid w:val="009E55CA"/>
    <w:rsid w:val="009E5724"/>
    <w:rsid w:val="009E5BA6"/>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51F"/>
    <w:rsid w:val="009F570E"/>
    <w:rsid w:val="009F5782"/>
    <w:rsid w:val="009F5820"/>
    <w:rsid w:val="009F5DA7"/>
    <w:rsid w:val="009F5EB5"/>
    <w:rsid w:val="009F6269"/>
    <w:rsid w:val="009F6690"/>
    <w:rsid w:val="009F68B7"/>
    <w:rsid w:val="009F68EE"/>
    <w:rsid w:val="009F6954"/>
    <w:rsid w:val="009F6A39"/>
    <w:rsid w:val="009F6A79"/>
    <w:rsid w:val="009F6E71"/>
    <w:rsid w:val="009F7386"/>
    <w:rsid w:val="009F76A7"/>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100C9"/>
    <w:rsid w:val="00A10124"/>
    <w:rsid w:val="00A10416"/>
    <w:rsid w:val="00A1076C"/>
    <w:rsid w:val="00A108EA"/>
    <w:rsid w:val="00A10D37"/>
    <w:rsid w:val="00A112A9"/>
    <w:rsid w:val="00A112E5"/>
    <w:rsid w:val="00A11456"/>
    <w:rsid w:val="00A11535"/>
    <w:rsid w:val="00A1156D"/>
    <w:rsid w:val="00A12034"/>
    <w:rsid w:val="00A12736"/>
    <w:rsid w:val="00A1276C"/>
    <w:rsid w:val="00A12B00"/>
    <w:rsid w:val="00A12F00"/>
    <w:rsid w:val="00A132B6"/>
    <w:rsid w:val="00A134B0"/>
    <w:rsid w:val="00A13506"/>
    <w:rsid w:val="00A13E62"/>
    <w:rsid w:val="00A13FB6"/>
    <w:rsid w:val="00A143FD"/>
    <w:rsid w:val="00A14AB5"/>
    <w:rsid w:val="00A14BA0"/>
    <w:rsid w:val="00A14D3F"/>
    <w:rsid w:val="00A1529C"/>
    <w:rsid w:val="00A15682"/>
    <w:rsid w:val="00A15974"/>
    <w:rsid w:val="00A15A59"/>
    <w:rsid w:val="00A15C15"/>
    <w:rsid w:val="00A15F0C"/>
    <w:rsid w:val="00A16442"/>
    <w:rsid w:val="00A1681A"/>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21E1"/>
    <w:rsid w:val="00A22549"/>
    <w:rsid w:val="00A2291E"/>
    <w:rsid w:val="00A22BF7"/>
    <w:rsid w:val="00A22D49"/>
    <w:rsid w:val="00A22D5A"/>
    <w:rsid w:val="00A236CB"/>
    <w:rsid w:val="00A23A6A"/>
    <w:rsid w:val="00A23B91"/>
    <w:rsid w:val="00A244CC"/>
    <w:rsid w:val="00A256DD"/>
    <w:rsid w:val="00A257B7"/>
    <w:rsid w:val="00A25A7B"/>
    <w:rsid w:val="00A25B96"/>
    <w:rsid w:val="00A25E77"/>
    <w:rsid w:val="00A2614E"/>
    <w:rsid w:val="00A2674D"/>
    <w:rsid w:val="00A2679F"/>
    <w:rsid w:val="00A26800"/>
    <w:rsid w:val="00A26CDE"/>
    <w:rsid w:val="00A2713E"/>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4CE"/>
    <w:rsid w:val="00A3588F"/>
    <w:rsid w:val="00A35923"/>
    <w:rsid w:val="00A35BE0"/>
    <w:rsid w:val="00A35DF6"/>
    <w:rsid w:val="00A35F08"/>
    <w:rsid w:val="00A36A7D"/>
    <w:rsid w:val="00A36ACD"/>
    <w:rsid w:val="00A36D3D"/>
    <w:rsid w:val="00A36FB4"/>
    <w:rsid w:val="00A3732B"/>
    <w:rsid w:val="00A377D3"/>
    <w:rsid w:val="00A3789F"/>
    <w:rsid w:val="00A379E5"/>
    <w:rsid w:val="00A37A57"/>
    <w:rsid w:val="00A37CD9"/>
    <w:rsid w:val="00A37E1C"/>
    <w:rsid w:val="00A37EC4"/>
    <w:rsid w:val="00A401D8"/>
    <w:rsid w:val="00A407B8"/>
    <w:rsid w:val="00A408CE"/>
    <w:rsid w:val="00A408DE"/>
    <w:rsid w:val="00A408F6"/>
    <w:rsid w:val="00A40C20"/>
    <w:rsid w:val="00A40CFF"/>
    <w:rsid w:val="00A4107E"/>
    <w:rsid w:val="00A416A1"/>
    <w:rsid w:val="00A41718"/>
    <w:rsid w:val="00A42031"/>
    <w:rsid w:val="00A420DE"/>
    <w:rsid w:val="00A4240F"/>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BD8"/>
    <w:rsid w:val="00A57F03"/>
    <w:rsid w:val="00A57F3F"/>
    <w:rsid w:val="00A607A8"/>
    <w:rsid w:val="00A61306"/>
    <w:rsid w:val="00A614E0"/>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D6"/>
    <w:rsid w:val="00A671C1"/>
    <w:rsid w:val="00A671DF"/>
    <w:rsid w:val="00A6730A"/>
    <w:rsid w:val="00A67503"/>
    <w:rsid w:val="00A7003D"/>
    <w:rsid w:val="00A70051"/>
    <w:rsid w:val="00A70243"/>
    <w:rsid w:val="00A70457"/>
    <w:rsid w:val="00A7048E"/>
    <w:rsid w:val="00A7070D"/>
    <w:rsid w:val="00A708DB"/>
    <w:rsid w:val="00A70AED"/>
    <w:rsid w:val="00A70C6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461"/>
    <w:rsid w:val="00A73718"/>
    <w:rsid w:val="00A73870"/>
    <w:rsid w:val="00A73C47"/>
    <w:rsid w:val="00A73FAB"/>
    <w:rsid w:val="00A74359"/>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5AD"/>
    <w:rsid w:val="00A76A03"/>
    <w:rsid w:val="00A76EF5"/>
    <w:rsid w:val="00A77205"/>
    <w:rsid w:val="00A7758E"/>
    <w:rsid w:val="00A77607"/>
    <w:rsid w:val="00A779D5"/>
    <w:rsid w:val="00A77BA5"/>
    <w:rsid w:val="00A77CF2"/>
    <w:rsid w:val="00A77D4E"/>
    <w:rsid w:val="00A77FE0"/>
    <w:rsid w:val="00A80058"/>
    <w:rsid w:val="00A8039F"/>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C0B"/>
    <w:rsid w:val="00A82D6A"/>
    <w:rsid w:val="00A8302C"/>
    <w:rsid w:val="00A8313F"/>
    <w:rsid w:val="00A8319E"/>
    <w:rsid w:val="00A8332F"/>
    <w:rsid w:val="00A83AC9"/>
    <w:rsid w:val="00A84111"/>
    <w:rsid w:val="00A84174"/>
    <w:rsid w:val="00A8435F"/>
    <w:rsid w:val="00A845DC"/>
    <w:rsid w:val="00A84884"/>
    <w:rsid w:val="00A84E22"/>
    <w:rsid w:val="00A850C6"/>
    <w:rsid w:val="00A859A7"/>
    <w:rsid w:val="00A85A1C"/>
    <w:rsid w:val="00A86057"/>
    <w:rsid w:val="00A87010"/>
    <w:rsid w:val="00A873B4"/>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632"/>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A31"/>
    <w:rsid w:val="00AA0E80"/>
    <w:rsid w:val="00AA1C5F"/>
    <w:rsid w:val="00AA1C93"/>
    <w:rsid w:val="00AA1F76"/>
    <w:rsid w:val="00AA209B"/>
    <w:rsid w:val="00AA2303"/>
    <w:rsid w:val="00AA23E2"/>
    <w:rsid w:val="00AA2502"/>
    <w:rsid w:val="00AA25D0"/>
    <w:rsid w:val="00AA2674"/>
    <w:rsid w:val="00AA2679"/>
    <w:rsid w:val="00AA2B4D"/>
    <w:rsid w:val="00AA3051"/>
    <w:rsid w:val="00AA35BE"/>
    <w:rsid w:val="00AA3B69"/>
    <w:rsid w:val="00AA4B28"/>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0F0"/>
    <w:rsid w:val="00AA72DC"/>
    <w:rsid w:val="00AA78FE"/>
    <w:rsid w:val="00AA7C36"/>
    <w:rsid w:val="00AA7DF7"/>
    <w:rsid w:val="00AA7F96"/>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E18"/>
    <w:rsid w:val="00AB3251"/>
    <w:rsid w:val="00AB3328"/>
    <w:rsid w:val="00AB3D99"/>
    <w:rsid w:val="00AB3EA4"/>
    <w:rsid w:val="00AB45FE"/>
    <w:rsid w:val="00AB505A"/>
    <w:rsid w:val="00AB5061"/>
    <w:rsid w:val="00AB5081"/>
    <w:rsid w:val="00AB5713"/>
    <w:rsid w:val="00AB5AFB"/>
    <w:rsid w:val="00AB5C2F"/>
    <w:rsid w:val="00AB60AB"/>
    <w:rsid w:val="00AB6569"/>
    <w:rsid w:val="00AB68C8"/>
    <w:rsid w:val="00AB6995"/>
    <w:rsid w:val="00AB69DA"/>
    <w:rsid w:val="00AB6BE0"/>
    <w:rsid w:val="00AB6FDE"/>
    <w:rsid w:val="00AB7227"/>
    <w:rsid w:val="00AB7457"/>
    <w:rsid w:val="00AB7783"/>
    <w:rsid w:val="00AB7BF9"/>
    <w:rsid w:val="00AC025A"/>
    <w:rsid w:val="00AC0A6C"/>
    <w:rsid w:val="00AC0BF9"/>
    <w:rsid w:val="00AC0D9E"/>
    <w:rsid w:val="00AC1032"/>
    <w:rsid w:val="00AC1045"/>
    <w:rsid w:val="00AC111D"/>
    <w:rsid w:val="00AC137E"/>
    <w:rsid w:val="00AC1562"/>
    <w:rsid w:val="00AC15F3"/>
    <w:rsid w:val="00AC172A"/>
    <w:rsid w:val="00AC1C1C"/>
    <w:rsid w:val="00AC23A5"/>
    <w:rsid w:val="00AC246B"/>
    <w:rsid w:val="00AC2515"/>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4E4B"/>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E0147"/>
    <w:rsid w:val="00AE03BB"/>
    <w:rsid w:val="00AE09F6"/>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F2"/>
    <w:rsid w:val="00AE570B"/>
    <w:rsid w:val="00AE5A65"/>
    <w:rsid w:val="00AE5D9F"/>
    <w:rsid w:val="00AE60E5"/>
    <w:rsid w:val="00AE6415"/>
    <w:rsid w:val="00AE64EA"/>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10FE"/>
    <w:rsid w:val="00AF1384"/>
    <w:rsid w:val="00AF199D"/>
    <w:rsid w:val="00AF1F2E"/>
    <w:rsid w:val="00AF2158"/>
    <w:rsid w:val="00AF22E5"/>
    <w:rsid w:val="00AF22E6"/>
    <w:rsid w:val="00AF26A9"/>
    <w:rsid w:val="00AF2756"/>
    <w:rsid w:val="00AF2955"/>
    <w:rsid w:val="00AF29A7"/>
    <w:rsid w:val="00AF2ABA"/>
    <w:rsid w:val="00AF2B30"/>
    <w:rsid w:val="00AF3048"/>
    <w:rsid w:val="00AF3201"/>
    <w:rsid w:val="00AF3589"/>
    <w:rsid w:val="00AF3E5F"/>
    <w:rsid w:val="00AF4091"/>
    <w:rsid w:val="00AF40CE"/>
    <w:rsid w:val="00AF415B"/>
    <w:rsid w:val="00AF4191"/>
    <w:rsid w:val="00AF4560"/>
    <w:rsid w:val="00AF48D4"/>
    <w:rsid w:val="00AF4965"/>
    <w:rsid w:val="00AF49A6"/>
    <w:rsid w:val="00AF4E07"/>
    <w:rsid w:val="00AF4E62"/>
    <w:rsid w:val="00AF5652"/>
    <w:rsid w:val="00AF56ED"/>
    <w:rsid w:val="00AF59F8"/>
    <w:rsid w:val="00AF6ADC"/>
    <w:rsid w:val="00AF6EDB"/>
    <w:rsid w:val="00AF70B0"/>
    <w:rsid w:val="00AF789D"/>
    <w:rsid w:val="00AF79BF"/>
    <w:rsid w:val="00AF7CD0"/>
    <w:rsid w:val="00B0010A"/>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91C"/>
    <w:rsid w:val="00B039B4"/>
    <w:rsid w:val="00B03C4B"/>
    <w:rsid w:val="00B03E26"/>
    <w:rsid w:val="00B042B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10482"/>
    <w:rsid w:val="00B1055A"/>
    <w:rsid w:val="00B1084F"/>
    <w:rsid w:val="00B108B7"/>
    <w:rsid w:val="00B10B87"/>
    <w:rsid w:val="00B10BB8"/>
    <w:rsid w:val="00B10BCE"/>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C26"/>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D30"/>
    <w:rsid w:val="00B2013E"/>
    <w:rsid w:val="00B20400"/>
    <w:rsid w:val="00B20576"/>
    <w:rsid w:val="00B206D2"/>
    <w:rsid w:val="00B20934"/>
    <w:rsid w:val="00B2145B"/>
    <w:rsid w:val="00B21858"/>
    <w:rsid w:val="00B21C98"/>
    <w:rsid w:val="00B21E74"/>
    <w:rsid w:val="00B22074"/>
    <w:rsid w:val="00B2213E"/>
    <w:rsid w:val="00B22A7E"/>
    <w:rsid w:val="00B22AB5"/>
    <w:rsid w:val="00B22EBC"/>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30414"/>
    <w:rsid w:val="00B30DFD"/>
    <w:rsid w:val="00B30E90"/>
    <w:rsid w:val="00B30EFE"/>
    <w:rsid w:val="00B313E6"/>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EB2"/>
    <w:rsid w:val="00B42EC1"/>
    <w:rsid w:val="00B42EED"/>
    <w:rsid w:val="00B430A7"/>
    <w:rsid w:val="00B432B8"/>
    <w:rsid w:val="00B43C6F"/>
    <w:rsid w:val="00B440B5"/>
    <w:rsid w:val="00B4419E"/>
    <w:rsid w:val="00B44440"/>
    <w:rsid w:val="00B44B13"/>
    <w:rsid w:val="00B44CD4"/>
    <w:rsid w:val="00B44E1D"/>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7E"/>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6DFF"/>
    <w:rsid w:val="00B56FBC"/>
    <w:rsid w:val="00B5774D"/>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B83"/>
    <w:rsid w:val="00B74D58"/>
    <w:rsid w:val="00B74D77"/>
    <w:rsid w:val="00B750C7"/>
    <w:rsid w:val="00B751F9"/>
    <w:rsid w:val="00B759BD"/>
    <w:rsid w:val="00B75C59"/>
    <w:rsid w:val="00B76301"/>
    <w:rsid w:val="00B76840"/>
    <w:rsid w:val="00B76DAB"/>
    <w:rsid w:val="00B76DBC"/>
    <w:rsid w:val="00B76DE4"/>
    <w:rsid w:val="00B76E25"/>
    <w:rsid w:val="00B77217"/>
    <w:rsid w:val="00B77234"/>
    <w:rsid w:val="00B77470"/>
    <w:rsid w:val="00B77493"/>
    <w:rsid w:val="00B77943"/>
    <w:rsid w:val="00B77BB0"/>
    <w:rsid w:val="00B80581"/>
    <w:rsid w:val="00B8062C"/>
    <w:rsid w:val="00B806DE"/>
    <w:rsid w:val="00B80940"/>
    <w:rsid w:val="00B80C6F"/>
    <w:rsid w:val="00B80D84"/>
    <w:rsid w:val="00B80D99"/>
    <w:rsid w:val="00B815B7"/>
    <w:rsid w:val="00B8162A"/>
    <w:rsid w:val="00B816F2"/>
    <w:rsid w:val="00B81DFD"/>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E45"/>
    <w:rsid w:val="00BA1057"/>
    <w:rsid w:val="00BA1075"/>
    <w:rsid w:val="00BA1434"/>
    <w:rsid w:val="00BA1E4B"/>
    <w:rsid w:val="00BA20BE"/>
    <w:rsid w:val="00BA20FD"/>
    <w:rsid w:val="00BA2C94"/>
    <w:rsid w:val="00BA2EFD"/>
    <w:rsid w:val="00BA3496"/>
    <w:rsid w:val="00BA34ED"/>
    <w:rsid w:val="00BA3512"/>
    <w:rsid w:val="00BA3646"/>
    <w:rsid w:val="00BA3755"/>
    <w:rsid w:val="00BA396E"/>
    <w:rsid w:val="00BA3D51"/>
    <w:rsid w:val="00BA3FF2"/>
    <w:rsid w:val="00BA400B"/>
    <w:rsid w:val="00BA4633"/>
    <w:rsid w:val="00BA4C57"/>
    <w:rsid w:val="00BA4F2F"/>
    <w:rsid w:val="00BA56FF"/>
    <w:rsid w:val="00BA57EB"/>
    <w:rsid w:val="00BA5A5D"/>
    <w:rsid w:val="00BA5B75"/>
    <w:rsid w:val="00BA62B4"/>
    <w:rsid w:val="00BA63F4"/>
    <w:rsid w:val="00BA64A2"/>
    <w:rsid w:val="00BA6500"/>
    <w:rsid w:val="00BA6542"/>
    <w:rsid w:val="00BA662B"/>
    <w:rsid w:val="00BA76D7"/>
    <w:rsid w:val="00BA7C14"/>
    <w:rsid w:val="00BA7E33"/>
    <w:rsid w:val="00BB003B"/>
    <w:rsid w:val="00BB015A"/>
    <w:rsid w:val="00BB0216"/>
    <w:rsid w:val="00BB0529"/>
    <w:rsid w:val="00BB06EB"/>
    <w:rsid w:val="00BB0856"/>
    <w:rsid w:val="00BB090D"/>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F3F"/>
    <w:rsid w:val="00BC2C2C"/>
    <w:rsid w:val="00BC2D0C"/>
    <w:rsid w:val="00BC361B"/>
    <w:rsid w:val="00BC3BA4"/>
    <w:rsid w:val="00BC3C36"/>
    <w:rsid w:val="00BC3E5F"/>
    <w:rsid w:val="00BC42C8"/>
    <w:rsid w:val="00BC446D"/>
    <w:rsid w:val="00BC4796"/>
    <w:rsid w:val="00BC48A8"/>
    <w:rsid w:val="00BC4ED1"/>
    <w:rsid w:val="00BC579B"/>
    <w:rsid w:val="00BC57AF"/>
    <w:rsid w:val="00BC5AF9"/>
    <w:rsid w:val="00BC5BCA"/>
    <w:rsid w:val="00BC5E1C"/>
    <w:rsid w:val="00BC5E44"/>
    <w:rsid w:val="00BC5F62"/>
    <w:rsid w:val="00BC63A7"/>
    <w:rsid w:val="00BC64CE"/>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CA4"/>
    <w:rsid w:val="00BD6284"/>
    <w:rsid w:val="00BD637C"/>
    <w:rsid w:val="00BD6AF3"/>
    <w:rsid w:val="00BD7157"/>
    <w:rsid w:val="00BD7587"/>
    <w:rsid w:val="00BD7B08"/>
    <w:rsid w:val="00BD7D6A"/>
    <w:rsid w:val="00BD7E40"/>
    <w:rsid w:val="00BE001E"/>
    <w:rsid w:val="00BE01D4"/>
    <w:rsid w:val="00BE0431"/>
    <w:rsid w:val="00BE060B"/>
    <w:rsid w:val="00BE0684"/>
    <w:rsid w:val="00BE077A"/>
    <w:rsid w:val="00BE0CBF"/>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50E7"/>
    <w:rsid w:val="00BE5103"/>
    <w:rsid w:val="00BE5170"/>
    <w:rsid w:val="00BE52F8"/>
    <w:rsid w:val="00BE5705"/>
    <w:rsid w:val="00BE5CC6"/>
    <w:rsid w:val="00BE63E2"/>
    <w:rsid w:val="00BE640A"/>
    <w:rsid w:val="00BE68E7"/>
    <w:rsid w:val="00BE695E"/>
    <w:rsid w:val="00BE6BDE"/>
    <w:rsid w:val="00BE6DE2"/>
    <w:rsid w:val="00BE6F1F"/>
    <w:rsid w:val="00BE714C"/>
    <w:rsid w:val="00BE734B"/>
    <w:rsid w:val="00BE75AB"/>
    <w:rsid w:val="00BE79A6"/>
    <w:rsid w:val="00BE7D01"/>
    <w:rsid w:val="00BF024F"/>
    <w:rsid w:val="00BF032A"/>
    <w:rsid w:val="00BF0498"/>
    <w:rsid w:val="00BF0649"/>
    <w:rsid w:val="00BF08BA"/>
    <w:rsid w:val="00BF0979"/>
    <w:rsid w:val="00BF0DA9"/>
    <w:rsid w:val="00BF11FA"/>
    <w:rsid w:val="00BF142D"/>
    <w:rsid w:val="00BF144A"/>
    <w:rsid w:val="00BF15BF"/>
    <w:rsid w:val="00BF183D"/>
    <w:rsid w:val="00BF1BBE"/>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8C5"/>
    <w:rsid w:val="00BF4F2C"/>
    <w:rsid w:val="00BF511F"/>
    <w:rsid w:val="00BF52FD"/>
    <w:rsid w:val="00BF53D0"/>
    <w:rsid w:val="00BF53FF"/>
    <w:rsid w:val="00BF598E"/>
    <w:rsid w:val="00BF5FA1"/>
    <w:rsid w:val="00BF61E7"/>
    <w:rsid w:val="00BF626E"/>
    <w:rsid w:val="00BF6CC5"/>
    <w:rsid w:val="00BF6E8C"/>
    <w:rsid w:val="00BF6EE7"/>
    <w:rsid w:val="00BF7229"/>
    <w:rsid w:val="00BF78B2"/>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D80"/>
    <w:rsid w:val="00C0264E"/>
    <w:rsid w:val="00C029FF"/>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A30"/>
    <w:rsid w:val="00C063BF"/>
    <w:rsid w:val="00C06408"/>
    <w:rsid w:val="00C06A58"/>
    <w:rsid w:val="00C06CA1"/>
    <w:rsid w:val="00C06E11"/>
    <w:rsid w:val="00C06F5F"/>
    <w:rsid w:val="00C07571"/>
    <w:rsid w:val="00C07915"/>
    <w:rsid w:val="00C07950"/>
    <w:rsid w:val="00C07A37"/>
    <w:rsid w:val="00C07B97"/>
    <w:rsid w:val="00C07CC5"/>
    <w:rsid w:val="00C10B72"/>
    <w:rsid w:val="00C10F10"/>
    <w:rsid w:val="00C1121C"/>
    <w:rsid w:val="00C11527"/>
    <w:rsid w:val="00C116CC"/>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42D"/>
    <w:rsid w:val="00C158DF"/>
    <w:rsid w:val="00C15F0D"/>
    <w:rsid w:val="00C16401"/>
    <w:rsid w:val="00C16596"/>
    <w:rsid w:val="00C16726"/>
    <w:rsid w:val="00C16743"/>
    <w:rsid w:val="00C169CD"/>
    <w:rsid w:val="00C16CA8"/>
    <w:rsid w:val="00C16CC5"/>
    <w:rsid w:val="00C16CC9"/>
    <w:rsid w:val="00C16D1D"/>
    <w:rsid w:val="00C17571"/>
    <w:rsid w:val="00C17579"/>
    <w:rsid w:val="00C178B1"/>
    <w:rsid w:val="00C1796D"/>
    <w:rsid w:val="00C17E82"/>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FCA"/>
    <w:rsid w:val="00C452EF"/>
    <w:rsid w:val="00C45577"/>
    <w:rsid w:val="00C4559F"/>
    <w:rsid w:val="00C455E2"/>
    <w:rsid w:val="00C45659"/>
    <w:rsid w:val="00C4578D"/>
    <w:rsid w:val="00C457B7"/>
    <w:rsid w:val="00C45C52"/>
    <w:rsid w:val="00C45E4A"/>
    <w:rsid w:val="00C45EB9"/>
    <w:rsid w:val="00C463AA"/>
    <w:rsid w:val="00C464DE"/>
    <w:rsid w:val="00C465A5"/>
    <w:rsid w:val="00C46648"/>
    <w:rsid w:val="00C466AA"/>
    <w:rsid w:val="00C46AB4"/>
    <w:rsid w:val="00C470D3"/>
    <w:rsid w:val="00C47909"/>
    <w:rsid w:val="00C47E79"/>
    <w:rsid w:val="00C47F82"/>
    <w:rsid w:val="00C47FD4"/>
    <w:rsid w:val="00C5007B"/>
    <w:rsid w:val="00C50222"/>
    <w:rsid w:val="00C505EC"/>
    <w:rsid w:val="00C50640"/>
    <w:rsid w:val="00C506D6"/>
    <w:rsid w:val="00C50BB4"/>
    <w:rsid w:val="00C519E8"/>
    <w:rsid w:val="00C51BE7"/>
    <w:rsid w:val="00C51D43"/>
    <w:rsid w:val="00C522AB"/>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5005"/>
    <w:rsid w:val="00C55072"/>
    <w:rsid w:val="00C5509D"/>
    <w:rsid w:val="00C550A8"/>
    <w:rsid w:val="00C55185"/>
    <w:rsid w:val="00C551B7"/>
    <w:rsid w:val="00C55445"/>
    <w:rsid w:val="00C55D0D"/>
    <w:rsid w:val="00C55DB0"/>
    <w:rsid w:val="00C55FAC"/>
    <w:rsid w:val="00C56300"/>
    <w:rsid w:val="00C563CB"/>
    <w:rsid w:val="00C56442"/>
    <w:rsid w:val="00C56487"/>
    <w:rsid w:val="00C56634"/>
    <w:rsid w:val="00C56BCD"/>
    <w:rsid w:val="00C56CB5"/>
    <w:rsid w:val="00C56FAE"/>
    <w:rsid w:val="00C573DE"/>
    <w:rsid w:val="00C57958"/>
    <w:rsid w:val="00C57CE6"/>
    <w:rsid w:val="00C601D9"/>
    <w:rsid w:val="00C60397"/>
    <w:rsid w:val="00C60534"/>
    <w:rsid w:val="00C6082D"/>
    <w:rsid w:val="00C60B4B"/>
    <w:rsid w:val="00C61050"/>
    <w:rsid w:val="00C610F1"/>
    <w:rsid w:val="00C61E29"/>
    <w:rsid w:val="00C62184"/>
    <w:rsid w:val="00C6225C"/>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839"/>
    <w:rsid w:val="00C64842"/>
    <w:rsid w:val="00C648B6"/>
    <w:rsid w:val="00C65244"/>
    <w:rsid w:val="00C657BF"/>
    <w:rsid w:val="00C65BA6"/>
    <w:rsid w:val="00C65EF3"/>
    <w:rsid w:val="00C66349"/>
    <w:rsid w:val="00C664B1"/>
    <w:rsid w:val="00C664B9"/>
    <w:rsid w:val="00C664D2"/>
    <w:rsid w:val="00C6660E"/>
    <w:rsid w:val="00C6684D"/>
    <w:rsid w:val="00C66866"/>
    <w:rsid w:val="00C66B6F"/>
    <w:rsid w:val="00C66D24"/>
    <w:rsid w:val="00C673B9"/>
    <w:rsid w:val="00C6768E"/>
    <w:rsid w:val="00C67746"/>
    <w:rsid w:val="00C677DC"/>
    <w:rsid w:val="00C67CA6"/>
    <w:rsid w:val="00C67D7A"/>
    <w:rsid w:val="00C70039"/>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61A"/>
    <w:rsid w:val="00C80A77"/>
    <w:rsid w:val="00C80F40"/>
    <w:rsid w:val="00C81045"/>
    <w:rsid w:val="00C81361"/>
    <w:rsid w:val="00C81642"/>
    <w:rsid w:val="00C816D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42FF"/>
    <w:rsid w:val="00C8448B"/>
    <w:rsid w:val="00C84627"/>
    <w:rsid w:val="00C84716"/>
    <w:rsid w:val="00C8489C"/>
    <w:rsid w:val="00C84B9F"/>
    <w:rsid w:val="00C84EDF"/>
    <w:rsid w:val="00C85E53"/>
    <w:rsid w:val="00C86031"/>
    <w:rsid w:val="00C860E4"/>
    <w:rsid w:val="00C86960"/>
    <w:rsid w:val="00C86D51"/>
    <w:rsid w:val="00C87375"/>
    <w:rsid w:val="00C87420"/>
    <w:rsid w:val="00C87ADF"/>
    <w:rsid w:val="00C87F1A"/>
    <w:rsid w:val="00C90212"/>
    <w:rsid w:val="00C90D46"/>
    <w:rsid w:val="00C90DEF"/>
    <w:rsid w:val="00C910A5"/>
    <w:rsid w:val="00C91917"/>
    <w:rsid w:val="00C91D47"/>
    <w:rsid w:val="00C91EED"/>
    <w:rsid w:val="00C91F33"/>
    <w:rsid w:val="00C91F8F"/>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FCD"/>
    <w:rsid w:val="00C95300"/>
    <w:rsid w:val="00C9585A"/>
    <w:rsid w:val="00C95C73"/>
    <w:rsid w:val="00C96366"/>
    <w:rsid w:val="00C96938"/>
    <w:rsid w:val="00C96C2E"/>
    <w:rsid w:val="00C96CA0"/>
    <w:rsid w:val="00C96DB9"/>
    <w:rsid w:val="00C974C3"/>
    <w:rsid w:val="00C97BB6"/>
    <w:rsid w:val="00C97CBC"/>
    <w:rsid w:val="00C97CF9"/>
    <w:rsid w:val="00CA0099"/>
    <w:rsid w:val="00CA046A"/>
    <w:rsid w:val="00CA09BA"/>
    <w:rsid w:val="00CA0B6E"/>
    <w:rsid w:val="00CA0BEA"/>
    <w:rsid w:val="00CA0C72"/>
    <w:rsid w:val="00CA0F70"/>
    <w:rsid w:val="00CA15A5"/>
    <w:rsid w:val="00CA15F3"/>
    <w:rsid w:val="00CA1781"/>
    <w:rsid w:val="00CA192A"/>
    <w:rsid w:val="00CA1EFB"/>
    <w:rsid w:val="00CA2201"/>
    <w:rsid w:val="00CA31AC"/>
    <w:rsid w:val="00CA333B"/>
    <w:rsid w:val="00CA3698"/>
    <w:rsid w:val="00CA37EF"/>
    <w:rsid w:val="00CA3BB0"/>
    <w:rsid w:val="00CA3CC1"/>
    <w:rsid w:val="00CA3EF3"/>
    <w:rsid w:val="00CA46D9"/>
    <w:rsid w:val="00CA47F0"/>
    <w:rsid w:val="00CA4D0F"/>
    <w:rsid w:val="00CA4F66"/>
    <w:rsid w:val="00CA54CE"/>
    <w:rsid w:val="00CA573E"/>
    <w:rsid w:val="00CA5775"/>
    <w:rsid w:val="00CA59AD"/>
    <w:rsid w:val="00CA5B35"/>
    <w:rsid w:val="00CA5B65"/>
    <w:rsid w:val="00CA5CE4"/>
    <w:rsid w:val="00CA6EE8"/>
    <w:rsid w:val="00CA722D"/>
    <w:rsid w:val="00CA7565"/>
    <w:rsid w:val="00CA776D"/>
    <w:rsid w:val="00CA7AB6"/>
    <w:rsid w:val="00CA7DC8"/>
    <w:rsid w:val="00CA7E03"/>
    <w:rsid w:val="00CA7EC6"/>
    <w:rsid w:val="00CB010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CCE"/>
    <w:rsid w:val="00CB1CFC"/>
    <w:rsid w:val="00CB1F6B"/>
    <w:rsid w:val="00CB2471"/>
    <w:rsid w:val="00CB2802"/>
    <w:rsid w:val="00CB2810"/>
    <w:rsid w:val="00CB2AC6"/>
    <w:rsid w:val="00CB2C3E"/>
    <w:rsid w:val="00CB2C9D"/>
    <w:rsid w:val="00CB2E9B"/>
    <w:rsid w:val="00CB2F05"/>
    <w:rsid w:val="00CB2F51"/>
    <w:rsid w:val="00CB32AD"/>
    <w:rsid w:val="00CB3735"/>
    <w:rsid w:val="00CB387A"/>
    <w:rsid w:val="00CB3968"/>
    <w:rsid w:val="00CB3E90"/>
    <w:rsid w:val="00CB439E"/>
    <w:rsid w:val="00CB445C"/>
    <w:rsid w:val="00CB4EFA"/>
    <w:rsid w:val="00CB51F8"/>
    <w:rsid w:val="00CB55BA"/>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3743"/>
    <w:rsid w:val="00CC3769"/>
    <w:rsid w:val="00CC38F1"/>
    <w:rsid w:val="00CC3E05"/>
    <w:rsid w:val="00CC43EC"/>
    <w:rsid w:val="00CC45C6"/>
    <w:rsid w:val="00CC4C7F"/>
    <w:rsid w:val="00CC4CAF"/>
    <w:rsid w:val="00CC4D0F"/>
    <w:rsid w:val="00CC4D46"/>
    <w:rsid w:val="00CC5071"/>
    <w:rsid w:val="00CC5F6D"/>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282"/>
    <w:rsid w:val="00CD1462"/>
    <w:rsid w:val="00CD15C4"/>
    <w:rsid w:val="00CD1848"/>
    <w:rsid w:val="00CD1D4D"/>
    <w:rsid w:val="00CD2057"/>
    <w:rsid w:val="00CD21F8"/>
    <w:rsid w:val="00CD233A"/>
    <w:rsid w:val="00CD24D8"/>
    <w:rsid w:val="00CD2A12"/>
    <w:rsid w:val="00CD2E82"/>
    <w:rsid w:val="00CD2F9D"/>
    <w:rsid w:val="00CD30D1"/>
    <w:rsid w:val="00CD33EA"/>
    <w:rsid w:val="00CD3674"/>
    <w:rsid w:val="00CD3844"/>
    <w:rsid w:val="00CD388E"/>
    <w:rsid w:val="00CD38B4"/>
    <w:rsid w:val="00CD3A5C"/>
    <w:rsid w:val="00CD3D69"/>
    <w:rsid w:val="00CD426C"/>
    <w:rsid w:val="00CD46CB"/>
    <w:rsid w:val="00CD47FB"/>
    <w:rsid w:val="00CD48D2"/>
    <w:rsid w:val="00CD48E0"/>
    <w:rsid w:val="00CD49CD"/>
    <w:rsid w:val="00CD4CB5"/>
    <w:rsid w:val="00CD4D55"/>
    <w:rsid w:val="00CD5032"/>
    <w:rsid w:val="00CD572D"/>
    <w:rsid w:val="00CD57F8"/>
    <w:rsid w:val="00CD5BFC"/>
    <w:rsid w:val="00CD5CEA"/>
    <w:rsid w:val="00CD6482"/>
    <w:rsid w:val="00CD6B67"/>
    <w:rsid w:val="00CD6C3C"/>
    <w:rsid w:val="00CD6DE2"/>
    <w:rsid w:val="00CD6E3E"/>
    <w:rsid w:val="00CD6ED9"/>
    <w:rsid w:val="00CD7052"/>
    <w:rsid w:val="00CD70E9"/>
    <w:rsid w:val="00CD711E"/>
    <w:rsid w:val="00CD7281"/>
    <w:rsid w:val="00CD729A"/>
    <w:rsid w:val="00CD7332"/>
    <w:rsid w:val="00CD7336"/>
    <w:rsid w:val="00CD7756"/>
    <w:rsid w:val="00CD798A"/>
    <w:rsid w:val="00CD7A02"/>
    <w:rsid w:val="00CD7DC9"/>
    <w:rsid w:val="00CE0553"/>
    <w:rsid w:val="00CE0602"/>
    <w:rsid w:val="00CE0A3C"/>
    <w:rsid w:val="00CE0AC5"/>
    <w:rsid w:val="00CE0C8E"/>
    <w:rsid w:val="00CE124D"/>
    <w:rsid w:val="00CE13AA"/>
    <w:rsid w:val="00CE1492"/>
    <w:rsid w:val="00CE1BC7"/>
    <w:rsid w:val="00CE229D"/>
    <w:rsid w:val="00CE2547"/>
    <w:rsid w:val="00CE25A3"/>
    <w:rsid w:val="00CE3553"/>
    <w:rsid w:val="00CE361A"/>
    <w:rsid w:val="00CE36DF"/>
    <w:rsid w:val="00CE37CF"/>
    <w:rsid w:val="00CE39C0"/>
    <w:rsid w:val="00CE39D8"/>
    <w:rsid w:val="00CE3EFA"/>
    <w:rsid w:val="00CE4586"/>
    <w:rsid w:val="00CE45F0"/>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A1A"/>
    <w:rsid w:val="00CF503F"/>
    <w:rsid w:val="00CF539E"/>
    <w:rsid w:val="00CF53D4"/>
    <w:rsid w:val="00CF6637"/>
    <w:rsid w:val="00CF69E7"/>
    <w:rsid w:val="00CF73B4"/>
    <w:rsid w:val="00CF767B"/>
    <w:rsid w:val="00CF76A4"/>
    <w:rsid w:val="00CF7713"/>
    <w:rsid w:val="00CF79FB"/>
    <w:rsid w:val="00CF7D71"/>
    <w:rsid w:val="00D000F3"/>
    <w:rsid w:val="00D0014C"/>
    <w:rsid w:val="00D00188"/>
    <w:rsid w:val="00D0031E"/>
    <w:rsid w:val="00D008AA"/>
    <w:rsid w:val="00D009D9"/>
    <w:rsid w:val="00D01388"/>
    <w:rsid w:val="00D01A0C"/>
    <w:rsid w:val="00D01AC3"/>
    <w:rsid w:val="00D01BF0"/>
    <w:rsid w:val="00D01E93"/>
    <w:rsid w:val="00D01FAD"/>
    <w:rsid w:val="00D025A6"/>
    <w:rsid w:val="00D02609"/>
    <w:rsid w:val="00D02681"/>
    <w:rsid w:val="00D029C3"/>
    <w:rsid w:val="00D02C5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A3"/>
    <w:rsid w:val="00D123E0"/>
    <w:rsid w:val="00D12DA3"/>
    <w:rsid w:val="00D12F97"/>
    <w:rsid w:val="00D12FCC"/>
    <w:rsid w:val="00D12FFA"/>
    <w:rsid w:val="00D130E9"/>
    <w:rsid w:val="00D1316F"/>
    <w:rsid w:val="00D13868"/>
    <w:rsid w:val="00D13E42"/>
    <w:rsid w:val="00D14046"/>
    <w:rsid w:val="00D14687"/>
    <w:rsid w:val="00D14741"/>
    <w:rsid w:val="00D14C0C"/>
    <w:rsid w:val="00D1539E"/>
    <w:rsid w:val="00D1548A"/>
    <w:rsid w:val="00D1561B"/>
    <w:rsid w:val="00D15C2B"/>
    <w:rsid w:val="00D16136"/>
    <w:rsid w:val="00D164C8"/>
    <w:rsid w:val="00D16841"/>
    <w:rsid w:val="00D168E6"/>
    <w:rsid w:val="00D16A78"/>
    <w:rsid w:val="00D171CF"/>
    <w:rsid w:val="00D172D5"/>
    <w:rsid w:val="00D17A23"/>
    <w:rsid w:val="00D17FB2"/>
    <w:rsid w:val="00D2080B"/>
    <w:rsid w:val="00D208D4"/>
    <w:rsid w:val="00D20A0D"/>
    <w:rsid w:val="00D20B75"/>
    <w:rsid w:val="00D20BD4"/>
    <w:rsid w:val="00D20ED9"/>
    <w:rsid w:val="00D210BE"/>
    <w:rsid w:val="00D21230"/>
    <w:rsid w:val="00D21547"/>
    <w:rsid w:val="00D21989"/>
    <w:rsid w:val="00D21E30"/>
    <w:rsid w:val="00D2219A"/>
    <w:rsid w:val="00D22510"/>
    <w:rsid w:val="00D22664"/>
    <w:rsid w:val="00D22A50"/>
    <w:rsid w:val="00D22A9D"/>
    <w:rsid w:val="00D22EE5"/>
    <w:rsid w:val="00D230E2"/>
    <w:rsid w:val="00D23159"/>
    <w:rsid w:val="00D235E8"/>
    <w:rsid w:val="00D23969"/>
    <w:rsid w:val="00D239C5"/>
    <w:rsid w:val="00D2419D"/>
    <w:rsid w:val="00D241AE"/>
    <w:rsid w:val="00D24269"/>
    <w:rsid w:val="00D24464"/>
    <w:rsid w:val="00D24D6C"/>
    <w:rsid w:val="00D24D8C"/>
    <w:rsid w:val="00D24DF8"/>
    <w:rsid w:val="00D2523C"/>
    <w:rsid w:val="00D252CF"/>
    <w:rsid w:val="00D253D9"/>
    <w:rsid w:val="00D2564C"/>
    <w:rsid w:val="00D25801"/>
    <w:rsid w:val="00D25D8A"/>
    <w:rsid w:val="00D26150"/>
    <w:rsid w:val="00D2625A"/>
    <w:rsid w:val="00D2687D"/>
    <w:rsid w:val="00D26BAE"/>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606"/>
    <w:rsid w:val="00D33647"/>
    <w:rsid w:val="00D3366C"/>
    <w:rsid w:val="00D33E78"/>
    <w:rsid w:val="00D33EF5"/>
    <w:rsid w:val="00D34257"/>
    <w:rsid w:val="00D3439B"/>
    <w:rsid w:val="00D34B64"/>
    <w:rsid w:val="00D34C94"/>
    <w:rsid w:val="00D3513E"/>
    <w:rsid w:val="00D3538E"/>
    <w:rsid w:val="00D3557B"/>
    <w:rsid w:val="00D35CE2"/>
    <w:rsid w:val="00D35D8B"/>
    <w:rsid w:val="00D35DEF"/>
    <w:rsid w:val="00D360B4"/>
    <w:rsid w:val="00D36349"/>
    <w:rsid w:val="00D36450"/>
    <w:rsid w:val="00D3670C"/>
    <w:rsid w:val="00D3684A"/>
    <w:rsid w:val="00D37067"/>
    <w:rsid w:val="00D374EC"/>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BAA"/>
    <w:rsid w:val="00D454DB"/>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AF3"/>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133"/>
    <w:rsid w:val="00D57225"/>
    <w:rsid w:val="00D57547"/>
    <w:rsid w:val="00D57A15"/>
    <w:rsid w:val="00D57B26"/>
    <w:rsid w:val="00D60003"/>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27A0"/>
    <w:rsid w:val="00D62887"/>
    <w:rsid w:val="00D62979"/>
    <w:rsid w:val="00D62F1E"/>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5C46"/>
    <w:rsid w:val="00D66005"/>
    <w:rsid w:val="00D660B5"/>
    <w:rsid w:val="00D66528"/>
    <w:rsid w:val="00D6684A"/>
    <w:rsid w:val="00D66A27"/>
    <w:rsid w:val="00D66AAC"/>
    <w:rsid w:val="00D66BB5"/>
    <w:rsid w:val="00D6746A"/>
    <w:rsid w:val="00D67903"/>
    <w:rsid w:val="00D67D62"/>
    <w:rsid w:val="00D67D80"/>
    <w:rsid w:val="00D70224"/>
    <w:rsid w:val="00D706BA"/>
    <w:rsid w:val="00D70ABB"/>
    <w:rsid w:val="00D70B21"/>
    <w:rsid w:val="00D70C30"/>
    <w:rsid w:val="00D70E69"/>
    <w:rsid w:val="00D71219"/>
    <w:rsid w:val="00D715FC"/>
    <w:rsid w:val="00D7181F"/>
    <w:rsid w:val="00D71AFE"/>
    <w:rsid w:val="00D71BCD"/>
    <w:rsid w:val="00D71F8B"/>
    <w:rsid w:val="00D728B1"/>
    <w:rsid w:val="00D728B5"/>
    <w:rsid w:val="00D72947"/>
    <w:rsid w:val="00D72AF1"/>
    <w:rsid w:val="00D72C0D"/>
    <w:rsid w:val="00D72C9F"/>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63"/>
    <w:rsid w:val="00D772B8"/>
    <w:rsid w:val="00D772BE"/>
    <w:rsid w:val="00D7778E"/>
    <w:rsid w:val="00D77B45"/>
    <w:rsid w:val="00D77CDC"/>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9B6"/>
    <w:rsid w:val="00D82BE8"/>
    <w:rsid w:val="00D82E64"/>
    <w:rsid w:val="00D82EEC"/>
    <w:rsid w:val="00D8326B"/>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FA"/>
    <w:rsid w:val="00D86CB4"/>
    <w:rsid w:val="00D86FC6"/>
    <w:rsid w:val="00D876A6"/>
    <w:rsid w:val="00D87796"/>
    <w:rsid w:val="00D87A1F"/>
    <w:rsid w:val="00D87AEA"/>
    <w:rsid w:val="00D87B1D"/>
    <w:rsid w:val="00D90213"/>
    <w:rsid w:val="00D902DC"/>
    <w:rsid w:val="00D903A4"/>
    <w:rsid w:val="00D903E3"/>
    <w:rsid w:val="00D908A9"/>
    <w:rsid w:val="00D90DE9"/>
    <w:rsid w:val="00D90E74"/>
    <w:rsid w:val="00D90FAF"/>
    <w:rsid w:val="00D9107F"/>
    <w:rsid w:val="00D912B8"/>
    <w:rsid w:val="00D912D4"/>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A93"/>
    <w:rsid w:val="00D97EDD"/>
    <w:rsid w:val="00D97FF4"/>
    <w:rsid w:val="00DA0468"/>
    <w:rsid w:val="00DA05C5"/>
    <w:rsid w:val="00DA10E9"/>
    <w:rsid w:val="00DA12D2"/>
    <w:rsid w:val="00DA1392"/>
    <w:rsid w:val="00DA1AC3"/>
    <w:rsid w:val="00DA1B78"/>
    <w:rsid w:val="00DA1DF2"/>
    <w:rsid w:val="00DA201E"/>
    <w:rsid w:val="00DA2223"/>
    <w:rsid w:val="00DA2495"/>
    <w:rsid w:val="00DA24EF"/>
    <w:rsid w:val="00DA32E5"/>
    <w:rsid w:val="00DA3377"/>
    <w:rsid w:val="00DA36C9"/>
    <w:rsid w:val="00DA3B5C"/>
    <w:rsid w:val="00DA4119"/>
    <w:rsid w:val="00DA41EA"/>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48"/>
    <w:rsid w:val="00DA7EBC"/>
    <w:rsid w:val="00DA7F79"/>
    <w:rsid w:val="00DB04A3"/>
    <w:rsid w:val="00DB05B6"/>
    <w:rsid w:val="00DB0690"/>
    <w:rsid w:val="00DB06E5"/>
    <w:rsid w:val="00DB0704"/>
    <w:rsid w:val="00DB0925"/>
    <w:rsid w:val="00DB0965"/>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25F"/>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CAE"/>
    <w:rsid w:val="00DD009F"/>
    <w:rsid w:val="00DD014C"/>
    <w:rsid w:val="00DD0550"/>
    <w:rsid w:val="00DD0605"/>
    <w:rsid w:val="00DD06F3"/>
    <w:rsid w:val="00DD0C4B"/>
    <w:rsid w:val="00DD103E"/>
    <w:rsid w:val="00DD14C2"/>
    <w:rsid w:val="00DD19C0"/>
    <w:rsid w:val="00DD1A4C"/>
    <w:rsid w:val="00DD1D34"/>
    <w:rsid w:val="00DD1F12"/>
    <w:rsid w:val="00DD211C"/>
    <w:rsid w:val="00DD230D"/>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167"/>
    <w:rsid w:val="00DD5CA0"/>
    <w:rsid w:val="00DD5D0B"/>
    <w:rsid w:val="00DD5EDC"/>
    <w:rsid w:val="00DD5F17"/>
    <w:rsid w:val="00DD5F74"/>
    <w:rsid w:val="00DD6051"/>
    <w:rsid w:val="00DD613B"/>
    <w:rsid w:val="00DD6F96"/>
    <w:rsid w:val="00DD6F9E"/>
    <w:rsid w:val="00DD6FB1"/>
    <w:rsid w:val="00DD74F8"/>
    <w:rsid w:val="00DD7818"/>
    <w:rsid w:val="00DE027D"/>
    <w:rsid w:val="00DE08CC"/>
    <w:rsid w:val="00DE0B62"/>
    <w:rsid w:val="00DE0C45"/>
    <w:rsid w:val="00DE1183"/>
    <w:rsid w:val="00DE1311"/>
    <w:rsid w:val="00DE1C38"/>
    <w:rsid w:val="00DE1D3C"/>
    <w:rsid w:val="00DE1DE5"/>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D6"/>
    <w:rsid w:val="00DE62F6"/>
    <w:rsid w:val="00DE6335"/>
    <w:rsid w:val="00DE66F5"/>
    <w:rsid w:val="00DE6AF2"/>
    <w:rsid w:val="00DE70EE"/>
    <w:rsid w:val="00DE77E8"/>
    <w:rsid w:val="00DE7CD0"/>
    <w:rsid w:val="00DF0016"/>
    <w:rsid w:val="00DF0661"/>
    <w:rsid w:val="00DF0734"/>
    <w:rsid w:val="00DF156E"/>
    <w:rsid w:val="00DF20E3"/>
    <w:rsid w:val="00DF212F"/>
    <w:rsid w:val="00DF25BA"/>
    <w:rsid w:val="00DF27BE"/>
    <w:rsid w:val="00DF2927"/>
    <w:rsid w:val="00DF29DE"/>
    <w:rsid w:val="00DF2B23"/>
    <w:rsid w:val="00DF2CBD"/>
    <w:rsid w:val="00DF2DB2"/>
    <w:rsid w:val="00DF2EB7"/>
    <w:rsid w:val="00DF311E"/>
    <w:rsid w:val="00DF35D4"/>
    <w:rsid w:val="00DF36D4"/>
    <w:rsid w:val="00DF390C"/>
    <w:rsid w:val="00DF3A96"/>
    <w:rsid w:val="00DF3CF5"/>
    <w:rsid w:val="00DF4362"/>
    <w:rsid w:val="00DF4457"/>
    <w:rsid w:val="00DF4990"/>
    <w:rsid w:val="00DF4A72"/>
    <w:rsid w:val="00DF4B13"/>
    <w:rsid w:val="00DF4BBD"/>
    <w:rsid w:val="00DF5179"/>
    <w:rsid w:val="00DF5BB7"/>
    <w:rsid w:val="00DF5BFF"/>
    <w:rsid w:val="00DF5C15"/>
    <w:rsid w:val="00DF6089"/>
    <w:rsid w:val="00DF67B9"/>
    <w:rsid w:val="00DF69C2"/>
    <w:rsid w:val="00DF6B1F"/>
    <w:rsid w:val="00DF6CB3"/>
    <w:rsid w:val="00DF7171"/>
    <w:rsid w:val="00DF72FC"/>
    <w:rsid w:val="00DF72FD"/>
    <w:rsid w:val="00DF76C1"/>
    <w:rsid w:val="00DF7816"/>
    <w:rsid w:val="00DF7B8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747"/>
    <w:rsid w:val="00E15AEC"/>
    <w:rsid w:val="00E15D6A"/>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165B"/>
    <w:rsid w:val="00E218C0"/>
    <w:rsid w:val="00E219A8"/>
    <w:rsid w:val="00E21BA2"/>
    <w:rsid w:val="00E21C27"/>
    <w:rsid w:val="00E22345"/>
    <w:rsid w:val="00E229AE"/>
    <w:rsid w:val="00E22CDD"/>
    <w:rsid w:val="00E22DA8"/>
    <w:rsid w:val="00E23087"/>
    <w:rsid w:val="00E232D1"/>
    <w:rsid w:val="00E234BB"/>
    <w:rsid w:val="00E23770"/>
    <w:rsid w:val="00E2399D"/>
    <w:rsid w:val="00E23D2F"/>
    <w:rsid w:val="00E23F47"/>
    <w:rsid w:val="00E23F88"/>
    <w:rsid w:val="00E23FC8"/>
    <w:rsid w:val="00E24812"/>
    <w:rsid w:val="00E24939"/>
    <w:rsid w:val="00E24B33"/>
    <w:rsid w:val="00E24B97"/>
    <w:rsid w:val="00E24BEC"/>
    <w:rsid w:val="00E24C5E"/>
    <w:rsid w:val="00E24EC4"/>
    <w:rsid w:val="00E2538D"/>
    <w:rsid w:val="00E25492"/>
    <w:rsid w:val="00E25D6B"/>
    <w:rsid w:val="00E260AE"/>
    <w:rsid w:val="00E261EE"/>
    <w:rsid w:val="00E262B9"/>
    <w:rsid w:val="00E262E7"/>
    <w:rsid w:val="00E262F6"/>
    <w:rsid w:val="00E264D8"/>
    <w:rsid w:val="00E2657A"/>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A0B"/>
    <w:rsid w:val="00E41BFE"/>
    <w:rsid w:val="00E41C2A"/>
    <w:rsid w:val="00E41E26"/>
    <w:rsid w:val="00E41ED5"/>
    <w:rsid w:val="00E42E81"/>
    <w:rsid w:val="00E42EAE"/>
    <w:rsid w:val="00E43000"/>
    <w:rsid w:val="00E434E5"/>
    <w:rsid w:val="00E438AE"/>
    <w:rsid w:val="00E4450C"/>
    <w:rsid w:val="00E4464E"/>
    <w:rsid w:val="00E4475B"/>
    <w:rsid w:val="00E447D9"/>
    <w:rsid w:val="00E4483F"/>
    <w:rsid w:val="00E44D6D"/>
    <w:rsid w:val="00E45832"/>
    <w:rsid w:val="00E458D4"/>
    <w:rsid w:val="00E45B0E"/>
    <w:rsid w:val="00E45B0F"/>
    <w:rsid w:val="00E46138"/>
    <w:rsid w:val="00E463D1"/>
    <w:rsid w:val="00E464A5"/>
    <w:rsid w:val="00E467FF"/>
    <w:rsid w:val="00E46901"/>
    <w:rsid w:val="00E46C22"/>
    <w:rsid w:val="00E46C34"/>
    <w:rsid w:val="00E46D77"/>
    <w:rsid w:val="00E46F21"/>
    <w:rsid w:val="00E47040"/>
    <w:rsid w:val="00E470AB"/>
    <w:rsid w:val="00E472E9"/>
    <w:rsid w:val="00E47643"/>
    <w:rsid w:val="00E47958"/>
    <w:rsid w:val="00E47B05"/>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DE"/>
    <w:rsid w:val="00E61D4C"/>
    <w:rsid w:val="00E61DE6"/>
    <w:rsid w:val="00E621FF"/>
    <w:rsid w:val="00E62439"/>
    <w:rsid w:val="00E62687"/>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B94"/>
    <w:rsid w:val="00E66DD8"/>
    <w:rsid w:val="00E672CD"/>
    <w:rsid w:val="00E67437"/>
    <w:rsid w:val="00E675C3"/>
    <w:rsid w:val="00E67693"/>
    <w:rsid w:val="00E67776"/>
    <w:rsid w:val="00E67F8A"/>
    <w:rsid w:val="00E7091D"/>
    <w:rsid w:val="00E713BF"/>
    <w:rsid w:val="00E715D3"/>
    <w:rsid w:val="00E71D05"/>
    <w:rsid w:val="00E71EF4"/>
    <w:rsid w:val="00E721BB"/>
    <w:rsid w:val="00E72392"/>
    <w:rsid w:val="00E726B5"/>
    <w:rsid w:val="00E72764"/>
    <w:rsid w:val="00E72898"/>
    <w:rsid w:val="00E72985"/>
    <w:rsid w:val="00E72F05"/>
    <w:rsid w:val="00E72F15"/>
    <w:rsid w:val="00E72F8B"/>
    <w:rsid w:val="00E73052"/>
    <w:rsid w:val="00E734DA"/>
    <w:rsid w:val="00E73501"/>
    <w:rsid w:val="00E7366D"/>
    <w:rsid w:val="00E7368B"/>
    <w:rsid w:val="00E73CA7"/>
    <w:rsid w:val="00E73E6A"/>
    <w:rsid w:val="00E73EF7"/>
    <w:rsid w:val="00E74024"/>
    <w:rsid w:val="00E74041"/>
    <w:rsid w:val="00E7409C"/>
    <w:rsid w:val="00E740E5"/>
    <w:rsid w:val="00E74700"/>
    <w:rsid w:val="00E74721"/>
    <w:rsid w:val="00E74736"/>
    <w:rsid w:val="00E74908"/>
    <w:rsid w:val="00E74A04"/>
    <w:rsid w:val="00E755A5"/>
    <w:rsid w:val="00E7563D"/>
    <w:rsid w:val="00E75D2E"/>
    <w:rsid w:val="00E75F51"/>
    <w:rsid w:val="00E765C3"/>
    <w:rsid w:val="00E76856"/>
    <w:rsid w:val="00E768A0"/>
    <w:rsid w:val="00E76F07"/>
    <w:rsid w:val="00E77495"/>
    <w:rsid w:val="00E7762A"/>
    <w:rsid w:val="00E77FBE"/>
    <w:rsid w:val="00E80015"/>
    <w:rsid w:val="00E8038D"/>
    <w:rsid w:val="00E803B7"/>
    <w:rsid w:val="00E805C5"/>
    <w:rsid w:val="00E80867"/>
    <w:rsid w:val="00E80A9B"/>
    <w:rsid w:val="00E80D1A"/>
    <w:rsid w:val="00E80E32"/>
    <w:rsid w:val="00E80EBB"/>
    <w:rsid w:val="00E818C5"/>
    <w:rsid w:val="00E81DF6"/>
    <w:rsid w:val="00E8228C"/>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8CB"/>
    <w:rsid w:val="00E84A64"/>
    <w:rsid w:val="00E84B64"/>
    <w:rsid w:val="00E84BC9"/>
    <w:rsid w:val="00E8512F"/>
    <w:rsid w:val="00E853AA"/>
    <w:rsid w:val="00E85EAA"/>
    <w:rsid w:val="00E86126"/>
    <w:rsid w:val="00E86144"/>
    <w:rsid w:val="00E8625D"/>
    <w:rsid w:val="00E86662"/>
    <w:rsid w:val="00E86712"/>
    <w:rsid w:val="00E8673A"/>
    <w:rsid w:val="00E86AC8"/>
    <w:rsid w:val="00E86B3A"/>
    <w:rsid w:val="00E86EF6"/>
    <w:rsid w:val="00E87229"/>
    <w:rsid w:val="00E8727E"/>
    <w:rsid w:val="00E87816"/>
    <w:rsid w:val="00E8782C"/>
    <w:rsid w:val="00E87DE7"/>
    <w:rsid w:val="00E900EC"/>
    <w:rsid w:val="00E90915"/>
    <w:rsid w:val="00E9099B"/>
    <w:rsid w:val="00E9121C"/>
    <w:rsid w:val="00E917F5"/>
    <w:rsid w:val="00E91A15"/>
    <w:rsid w:val="00E91D67"/>
    <w:rsid w:val="00E91D95"/>
    <w:rsid w:val="00E923F6"/>
    <w:rsid w:val="00E924CF"/>
    <w:rsid w:val="00E92AC3"/>
    <w:rsid w:val="00E92AE4"/>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F9C"/>
    <w:rsid w:val="00E97098"/>
    <w:rsid w:val="00E9736D"/>
    <w:rsid w:val="00E9782A"/>
    <w:rsid w:val="00E97866"/>
    <w:rsid w:val="00E97A0F"/>
    <w:rsid w:val="00E97B36"/>
    <w:rsid w:val="00E97B9A"/>
    <w:rsid w:val="00E97E6D"/>
    <w:rsid w:val="00EA01E1"/>
    <w:rsid w:val="00EA03A4"/>
    <w:rsid w:val="00EA041F"/>
    <w:rsid w:val="00EA04A5"/>
    <w:rsid w:val="00EA04FA"/>
    <w:rsid w:val="00EA05DB"/>
    <w:rsid w:val="00EA08D2"/>
    <w:rsid w:val="00EA10E9"/>
    <w:rsid w:val="00EA1297"/>
    <w:rsid w:val="00EA14C9"/>
    <w:rsid w:val="00EA173B"/>
    <w:rsid w:val="00EA173C"/>
    <w:rsid w:val="00EA1897"/>
    <w:rsid w:val="00EA1CFC"/>
    <w:rsid w:val="00EA1E71"/>
    <w:rsid w:val="00EA1E93"/>
    <w:rsid w:val="00EA23FD"/>
    <w:rsid w:val="00EA250D"/>
    <w:rsid w:val="00EA2554"/>
    <w:rsid w:val="00EA2619"/>
    <w:rsid w:val="00EA2A41"/>
    <w:rsid w:val="00EA2AE0"/>
    <w:rsid w:val="00EA3110"/>
    <w:rsid w:val="00EA319D"/>
    <w:rsid w:val="00EA33A6"/>
    <w:rsid w:val="00EA3F07"/>
    <w:rsid w:val="00EA3F21"/>
    <w:rsid w:val="00EA4249"/>
    <w:rsid w:val="00EA44A3"/>
    <w:rsid w:val="00EA44DA"/>
    <w:rsid w:val="00EA5069"/>
    <w:rsid w:val="00EA5139"/>
    <w:rsid w:val="00EA5420"/>
    <w:rsid w:val="00EA5CA3"/>
    <w:rsid w:val="00EA5DA1"/>
    <w:rsid w:val="00EA61D3"/>
    <w:rsid w:val="00EA636B"/>
    <w:rsid w:val="00EA656B"/>
    <w:rsid w:val="00EA6619"/>
    <w:rsid w:val="00EA6732"/>
    <w:rsid w:val="00EA6D2E"/>
    <w:rsid w:val="00EA6F67"/>
    <w:rsid w:val="00EA6FE7"/>
    <w:rsid w:val="00EA7276"/>
    <w:rsid w:val="00EA73EB"/>
    <w:rsid w:val="00EA7834"/>
    <w:rsid w:val="00EA7D28"/>
    <w:rsid w:val="00EA7E98"/>
    <w:rsid w:val="00EB0896"/>
    <w:rsid w:val="00EB0E79"/>
    <w:rsid w:val="00EB10B9"/>
    <w:rsid w:val="00EB175A"/>
    <w:rsid w:val="00EB18FC"/>
    <w:rsid w:val="00EB196C"/>
    <w:rsid w:val="00EB204E"/>
    <w:rsid w:val="00EB286D"/>
    <w:rsid w:val="00EB2AC0"/>
    <w:rsid w:val="00EB2CD4"/>
    <w:rsid w:val="00EB2E9D"/>
    <w:rsid w:val="00EB2F36"/>
    <w:rsid w:val="00EB311E"/>
    <w:rsid w:val="00EB32E0"/>
    <w:rsid w:val="00EB359A"/>
    <w:rsid w:val="00EB3745"/>
    <w:rsid w:val="00EB3CD5"/>
    <w:rsid w:val="00EB4110"/>
    <w:rsid w:val="00EB4114"/>
    <w:rsid w:val="00EB434D"/>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6055"/>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97"/>
    <w:rsid w:val="00ED2DBB"/>
    <w:rsid w:val="00ED2E35"/>
    <w:rsid w:val="00ED30A5"/>
    <w:rsid w:val="00ED3623"/>
    <w:rsid w:val="00ED3878"/>
    <w:rsid w:val="00ED3C08"/>
    <w:rsid w:val="00ED3D04"/>
    <w:rsid w:val="00ED3EF8"/>
    <w:rsid w:val="00ED3F25"/>
    <w:rsid w:val="00ED401D"/>
    <w:rsid w:val="00ED4815"/>
    <w:rsid w:val="00ED49D6"/>
    <w:rsid w:val="00ED4BF2"/>
    <w:rsid w:val="00ED4C81"/>
    <w:rsid w:val="00ED4EF5"/>
    <w:rsid w:val="00ED5079"/>
    <w:rsid w:val="00ED526C"/>
    <w:rsid w:val="00ED544F"/>
    <w:rsid w:val="00ED57A8"/>
    <w:rsid w:val="00ED619C"/>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3A5C"/>
    <w:rsid w:val="00EE3CB5"/>
    <w:rsid w:val="00EE3F8A"/>
    <w:rsid w:val="00EE42C6"/>
    <w:rsid w:val="00EE44B2"/>
    <w:rsid w:val="00EE474B"/>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D02"/>
    <w:rsid w:val="00EF1EF8"/>
    <w:rsid w:val="00EF20ED"/>
    <w:rsid w:val="00EF2AA0"/>
    <w:rsid w:val="00EF2CF9"/>
    <w:rsid w:val="00EF2D06"/>
    <w:rsid w:val="00EF2EAF"/>
    <w:rsid w:val="00EF317A"/>
    <w:rsid w:val="00EF31E2"/>
    <w:rsid w:val="00EF3413"/>
    <w:rsid w:val="00EF3493"/>
    <w:rsid w:val="00EF36A3"/>
    <w:rsid w:val="00EF3D39"/>
    <w:rsid w:val="00EF3F24"/>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DA"/>
    <w:rsid w:val="00EF6929"/>
    <w:rsid w:val="00EF78F8"/>
    <w:rsid w:val="00EF7BD2"/>
    <w:rsid w:val="00EF7E8B"/>
    <w:rsid w:val="00F0044E"/>
    <w:rsid w:val="00F005C6"/>
    <w:rsid w:val="00F0088F"/>
    <w:rsid w:val="00F0095A"/>
    <w:rsid w:val="00F0096D"/>
    <w:rsid w:val="00F00CC2"/>
    <w:rsid w:val="00F012AA"/>
    <w:rsid w:val="00F012FE"/>
    <w:rsid w:val="00F01565"/>
    <w:rsid w:val="00F01633"/>
    <w:rsid w:val="00F017C5"/>
    <w:rsid w:val="00F01F30"/>
    <w:rsid w:val="00F01FC3"/>
    <w:rsid w:val="00F02183"/>
    <w:rsid w:val="00F02949"/>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D20"/>
    <w:rsid w:val="00F10EA3"/>
    <w:rsid w:val="00F10FA0"/>
    <w:rsid w:val="00F110E7"/>
    <w:rsid w:val="00F1133F"/>
    <w:rsid w:val="00F11344"/>
    <w:rsid w:val="00F1142E"/>
    <w:rsid w:val="00F114B2"/>
    <w:rsid w:val="00F12132"/>
    <w:rsid w:val="00F1283F"/>
    <w:rsid w:val="00F12B7C"/>
    <w:rsid w:val="00F12BDE"/>
    <w:rsid w:val="00F12FC4"/>
    <w:rsid w:val="00F13402"/>
    <w:rsid w:val="00F13574"/>
    <w:rsid w:val="00F136F4"/>
    <w:rsid w:val="00F13A37"/>
    <w:rsid w:val="00F13A6D"/>
    <w:rsid w:val="00F13B6F"/>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2083"/>
    <w:rsid w:val="00F223FC"/>
    <w:rsid w:val="00F224B1"/>
    <w:rsid w:val="00F224BA"/>
    <w:rsid w:val="00F228FB"/>
    <w:rsid w:val="00F22A56"/>
    <w:rsid w:val="00F22CAD"/>
    <w:rsid w:val="00F2327A"/>
    <w:rsid w:val="00F2343B"/>
    <w:rsid w:val="00F234A6"/>
    <w:rsid w:val="00F23686"/>
    <w:rsid w:val="00F23C69"/>
    <w:rsid w:val="00F23EED"/>
    <w:rsid w:val="00F24101"/>
    <w:rsid w:val="00F245CC"/>
    <w:rsid w:val="00F24870"/>
    <w:rsid w:val="00F248FC"/>
    <w:rsid w:val="00F24904"/>
    <w:rsid w:val="00F249C5"/>
    <w:rsid w:val="00F24B0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CA"/>
    <w:rsid w:val="00F33488"/>
    <w:rsid w:val="00F337D3"/>
    <w:rsid w:val="00F33C64"/>
    <w:rsid w:val="00F33E3D"/>
    <w:rsid w:val="00F34372"/>
    <w:rsid w:val="00F34D39"/>
    <w:rsid w:val="00F34DEC"/>
    <w:rsid w:val="00F35241"/>
    <w:rsid w:val="00F359F4"/>
    <w:rsid w:val="00F35BEF"/>
    <w:rsid w:val="00F35E10"/>
    <w:rsid w:val="00F35E96"/>
    <w:rsid w:val="00F364E7"/>
    <w:rsid w:val="00F367AB"/>
    <w:rsid w:val="00F36D9F"/>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30BA"/>
    <w:rsid w:val="00F430DC"/>
    <w:rsid w:val="00F43166"/>
    <w:rsid w:val="00F432BA"/>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50109"/>
    <w:rsid w:val="00F5025B"/>
    <w:rsid w:val="00F506C6"/>
    <w:rsid w:val="00F50A5C"/>
    <w:rsid w:val="00F50D7C"/>
    <w:rsid w:val="00F51393"/>
    <w:rsid w:val="00F51BCE"/>
    <w:rsid w:val="00F51BF4"/>
    <w:rsid w:val="00F51E85"/>
    <w:rsid w:val="00F521AF"/>
    <w:rsid w:val="00F5221A"/>
    <w:rsid w:val="00F52407"/>
    <w:rsid w:val="00F527DD"/>
    <w:rsid w:val="00F52B51"/>
    <w:rsid w:val="00F52CC9"/>
    <w:rsid w:val="00F52E24"/>
    <w:rsid w:val="00F531B2"/>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208A"/>
    <w:rsid w:val="00F625EB"/>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90"/>
    <w:rsid w:val="00F65EDB"/>
    <w:rsid w:val="00F66577"/>
    <w:rsid w:val="00F667FF"/>
    <w:rsid w:val="00F66E65"/>
    <w:rsid w:val="00F66ECA"/>
    <w:rsid w:val="00F66FBD"/>
    <w:rsid w:val="00F6711E"/>
    <w:rsid w:val="00F67569"/>
    <w:rsid w:val="00F67AA2"/>
    <w:rsid w:val="00F67C3E"/>
    <w:rsid w:val="00F67CD9"/>
    <w:rsid w:val="00F67F37"/>
    <w:rsid w:val="00F70557"/>
    <w:rsid w:val="00F70568"/>
    <w:rsid w:val="00F707B3"/>
    <w:rsid w:val="00F70943"/>
    <w:rsid w:val="00F70A5B"/>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902"/>
    <w:rsid w:val="00F73B5F"/>
    <w:rsid w:val="00F73F2D"/>
    <w:rsid w:val="00F7477A"/>
    <w:rsid w:val="00F747D6"/>
    <w:rsid w:val="00F74877"/>
    <w:rsid w:val="00F74ADE"/>
    <w:rsid w:val="00F74BB2"/>
    <w:rsid w:val="00F74FB2"/>
    <w:rsid w:val="00F753F5"/>
    <w:rsid w:val="00F75612"/>
    <w:rsid w:val="00F7566C"/>
    <w:rsid w:val="00F756B5"/>
    <w:rsid w:val="00F759E9"/>
    <w:rsid w:val="00F75B02"/>
    <w:rsid w:val="00F75E72"/>
    <w:rsid w:val="00F75EA2"/>
    <w:rsid w:val="00F76275"/>
    <w:rsid w:val="00F7663A"/>
    <w:rsid w:val="00F76A5A"/>
    <w:rsid w:val="00F76BC9"/>
    <w:rsid w:val="00F77066"/>
    <w:rsid w:val="00F77163"/>
    <w:rsid w:val="00F77356"/>
    <w:rsid w:val="00F776F4"/>
    <w:rsid w:val="00F779F4"/>
    <w:rsid w:val="00F77A41"/>
    <w:rsid w:val="00F77A95"/>
    <w:rsid w:val="00F77C8A"/>
    <w:rsid w:val="00F77D90"/>
    <w:rsid w:val="00F8022F"/>
    <w:rsid w:val="00F80535"/>
    <w:rsid w:val="00F80876"/>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1DF"/>
    <w:rsid w:val="00F86530"/>
    <w:rsid w:val="00F868FE"/>
    <w:rsid w:val="00F86C72"/>
    <w:rsid w:val="00F86D8B"/>
    <w:rsid w:val="00F86DA0"/>
    <w:rsid w:val="00F86E16"/>
    <w:rsid w:val="00F870D8"/>
    <w:rsid w:val="00F874E8"/>
    <w:rsid w:val="00F876E7"/>
    <w:rsid w:val="00F8774E"/>
    <w:rsid w:val="00F877E9"/>
    <w:rsid w:val="00F87982"/>
    <w:rsid w:val="00F87F22"/>
    <w:rsid w:val="00F9011F"/>
    <w:rsid w:val="00F903B8"/>
    <w:rsid w:val="00F903C4"/>
    <w:rsid w:val="00F9070B"/>
    <w:rsid w:val="00F90BCE"/>
    <w:rsid w:val="00F90C93"/>
    <w:rsid w:val="00F90E04"/>
    <w:rsid w:val="00F9119B"/>
    <w:rsid w:val="00F911CD"/>
    <w:rsid w:val="00F914A2"/>
    <w:rsid w:val="00F9158E"/>
    <w:rsid w:val="00F915A1"/>
    <w:rsid w:val="00F9168C"/>
    <w:rsid w:val="00F91781"/>
    <w:rsid w:val="00F92401"/>
    <w:rsid w:val="00F9242C"/>
    <w:rsid w:val="00F929CE"/>
    <w:rsid w:val="00F92AAA"/>
    <w:rsid w:val="00F930DB"/>
    <w:rsid w:val="00F937CD"/>
    <w:rsid w:val="00F9392A"/>
    <w:rsid w:val="00F93BB2"/>
    <w:rsid w:val="00F93FDB"/>
    <w:rsid w:val="00F94284"/>
    <w:rsid w:val="00F944BD"/>
    <w:rsid w:val="00F944D0"/>
    <w:rsid w:val="00F94826"/>
    <w:rsid w:val="00F949E2"/>
    <w:rsid w:val="00F94E77"/>
    <w:rsid w:val="00F94F31"/>
    <w:rsid w:val="00F9525D"/>
    <w:rsid w:val="00F95B1E"/>
    <w:rsid w:val="00F95D04"/>
    <w:rsid w:val="00F95EDD"/>
    <w:rsid w:val="00F960C2"/>
    <w:rsid w:val="00F9611A"/>
    <w:rsid w:val="00F963E9"/>
    <w:rsid w:val="00F9661F"/>
    <w:rsid w:val="00F96A95"/>
    <w:rsid w:val="00F96B61"/>
    <w:rsid w:val="00F96E5E"/>
    <w:rsid w:val="00F96F30"/>
    <w:rsid w:val="00F972FC"/>
    <w:rsid w:val="00F977B5"/>
    <w:rsid w:val="00F97AFF"/>
    <w:rsid w:val="00F97B04"/>
    <w:rsid w:val="00FA0133"/>
    <w:rsid w:val="00FA0405"/>
    <w:rsid w:val="00FA1129"/>
    <w:rsid w:val="00FA168C"/>
    <w:rsid w:val="00FA1D4F"/>
    <w:rsid w:val="00FA270C"/>
    <w:rsid w:val="00FA2BAA"/>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1091"/>
    <w:rsid w:val="00FB176E"/>
    <w:rsid w:val="00FB1F57"/>
    <w:rsid w:val="00FB20D1"/>
    <w:rsid w:val="00FB210A"/>
    <w:rsid w:val="00FB213E"/>
    <w:rsid w:val="00FB26AF"/>
    <w:rsid w:val="00FB278F"/>
    <w:rsid w:val="00FB2C27"/>
    <w:rsid w:val="00FB2E56"/>
    <w:rsid w:val="00FB322F"/>
    <w:rsid w:val="00FB32FA"/>
    <w:rsid w:val="00FB3627"/>
    <w:rsid w:val="00FB36C0"/>
    <w:rsid w:val="00FB4067"/>
    <w:rsid w:val="00FB444C"/>
    <w:rsid w:val="00FB4497"/>
    <w:rsid w:val="00FB48BC"/>
    <w:rsid w:val="00FB5116"/>
    <w:rsid w:val="00FB5180"/>
    <w:rsid w:val="00FB530A"/>
    <w:rsid w:val="00FB53C8"/>
    <w:rsid w:val="00FB53D1"/>
    <w:rsid w:val="00FB552C"/>
    <w:rsid w:val="00FB55F9"/>
    <w:rsid w:val="00FB59AB"/>
    <w:rsid w:val="00FB6116"/>
    <w:rsid w:val="00FB65B8"/>
    <w:rsid w:val="00FB6909"/>
    <w:rsid w:val="00FB6C71"/>
    <w:rsid w:val="00FB6EF8"/>
    <w:rsid w:val="00FB6FA1"/>
    <w:rsid w:val="00FB7564"/>
    <w:rsid w:val="00FB78CE"/>
    <w:rsid w:val="00FB78EC"/>
    <w:rsid w:val="00FB7A65"/>
    <w:rsid w:val="00FB7C61"/>
    <w:rsid w:val="00FB7D5A"/>
    <w:rsid w:val="00FB7F93"/>
    <w:rsid w:val="00FC0554"/>
    <w:rsid w:val="00FC0AB8"/>
    <w:rsid w:val="00FC0E14"/>
    <w:rsid w:val="00FC11BC"/>
    <w:rsid w:val="00FC128C"/>
    <w:rsid w:val="00FC1522"/>
    <w:rsid w:val="00FC1558"/>
    <w:rsid w:val="00FC1647"/>
    <w:rsid w:val="00FC1755"/>
    <w:rsid w:val="00FC1853"/>
    <w:rsid w:val="00FC21C4"/>
    <w:rsid w:val="00FC223A"/>
    <w:rsid w:val="00FC245F"/>
    <w:rsid w:val="00FC354F"/>
    <w:rsid w:val="00FC3631"/>
    <w:rsid w:val="00FC39A4"/>
    <w:rsid w:val="00FC4462"/>
    <w:rsid w:val="00FC4BFC"/>
    <w:rsid w:val="00FC4C65"/>
    <w:rsid w:val="00FC4DD3"/>
    <w:rsid w:val="00FC4EE3"/>
    <w:rsid w:val="00FC4FE2"/>
    <w:rsid w:val="00FC52D4"/>
    <w:rsid w:val="00FC586C"/>
    <w:rsid w:val="00FC5B62"/>
    <w:rsid w:val="00FC6A5C"/>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60A4"/>
    <w:rsid w:val="00FD63E7"/>
    <w:rsid w:val="00FD6E77"/>
    <w:rsid w:val="00FD71B9"/>
    <w:rsid w:val="00FD7283"/>
    <w:rsid w:val="00FD7351"/>
    <w:rsid w:val="00FD747B"/>
    <w:rsid w:val="00FD74A9"/>
    <w:rsid w:val="00FD792C"/>
    <w:rsid w:val="00FD7DD9"/>
    <w:rsid w:val="00FD7EDF"/>
    <w:rsid w:val="00FD7F74"/>
    <w:rsid w:val="00FE040A"/>
    <w:rsid w:val="00FE048C"/>
    <w:rsid w:val="00FE05B4"/>
    <w:rsid w:val="00FE07E6"/>
    <w:rsid w:val="00FE0A42"/>
    <w:rsid w:val="00FE0C19"/>
    <w:rsid w:val="00FE0C3D"/>
    <w:rsid w:val="00FE0E64"/>
    <w:rsid w:val="00FE1350"/>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F17"/>
    <w:rsid w:val="00FE5062"/>
    <w:rsid w:val="00FE52D0"/>
    <w:rsid w:val="00FE5332"/>
    <w:rsid w:val="00FE5407"/>
    <w:rsid w:val="00FE5469"/>
    <w:rsid w:val="00FE54DE"/>
    <w:rsid w:val="00FE5906"/>
    <w:rsid w:val="00FE5C6A"/>
    <w:rsid w:val="00FE6497"/>
    <w:rsid w:val="00FE6C7B"/>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46E1"/>
    <w:rsid w:val="00FF5216"/>
    <w:rsid w:val="00FF5520"/>
    <w:rsid w:val="00FF554A"/>
    <w:rsid w:val="00FF59ED"/>
    <w:rsid w:val="00FF5B38"/>
    <w:rsid w:val="00FF62A7"/>
    <w:rsid w:val="00FF6784"/>
    <w:rsid w:val="00FF678F"/>
    <w:rsid w:val="00FF721C"/>
    <w:rsid w:val="00FF7362"/>
    <w:rsid w:val="00FF782D"/>
    <w:rsid w:val="00FF7893"/>
    <w:rsid w:val="00FF7A30"/>
    <w:rsid w:val="00FF7BA1"/>
    <w:rsid w:val="00FF7CEE"/>
    <w:rsid w:val="00FF7D22"/>
    <w:rsid w:val="05AB214A"/>
    <w:rsid w:val="09827C51"/>
    <w:rsid w:val="0EF2585C"/>
    <w:rsid w:val="0FB133D5"/>
    <w:rsid w:val="122B759B"/>
    <w:rsid w:val="125166E3"/>
    <w:rsid w:val="19644D26"/>
    <w:rsid w:val="1C350AFE"/>
    <w:rsid w:val="1C6A4915"/>
    <w:rsid w:val="1F8F4008"/>
    <w:rsid w:val="20F71D89"/>
    <w:rsid w:val="210B51C9"/>
    <w:rsid w:val="21E0676B"/>
    <w:rsid w:val="222022DD"/>
    <w:rsid w:val="22740390"/>
    <w:rsid w:val="26FC48CA"/>
    <w:rsid w:val="2C3A0F30"/>
    <w:rsid w:val="2E3D0F23"/>
    <w:rsid w:val="316B09D6"/>
    <w:rsid w:val="336628D1"/>
    <w:rsid w:val="35863303"/>
    <w:rsid w:val="35A221D5"/>
    <w:rsid w:val="370F2F9F"/>
    <w:rsid w:val="38617EBD"/>
    <w:rsid w:val="3B1A536F"/>
    <w:rsid w:val="3BA72083"/>
    <w:rsid w:val="40B918FF"/>
    <w:rsid w:val="42B954C5"/>
    <w:rsid w:val="443A7397"/>
    <w:rsid w:val="496B1247"/>
    <w:rsid w:val="4A2C6E1F"/>
    <w:rsid w:val="4EB734D8"/>
    <w:rsid w:val="505A622F"/>
    <w:rsid w:val="562E22CF"/>
    <w:rsid w:val="58A9150B"/>
    <w:rsid w:val="5A7043E2"/>
    <w:rsid w:val="5AEF1843"/>
    <w:rsid w:val="5C595D9A"/>
    <w:rsid w:val="60C75B7C"/>
    <w:rsid w:val="67AA27F1"/>
    <w:rsid w:val="6AA11F5B"/>
    <w:rsid w:val="6FF45CB0"/>
    <w:rsid w:val="70FE24A5"/>
    <w:rsid w:val="726B6643"/>
    <w:rsid w:val="76663499"/>
    <w:rsid w:val="77432159"/>
    <w:rsid w:val="78D51650"/>
    <w:rsid w:val="79911FD8"/>
    <w:rsid w:val="7AEB49CA"/>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45D8C22"/>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en-GB" w:eastAsia="zh-CN" w:bidi="ar-SA"/>
      </w:rPr>
    </w:rPrDefault>
    <w:pPrDefault/>
  </w:docDefaults>
  <w:latentStyles w:defLockedState="0" w:defUIPriority="99" w:defSemiHidden="0" w:defUnhideWhenUsed="0" w:defQFormat="0" w:count="382">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sz w:val="22"/>
      <w:szCs w:val="22"/>
      <w:lang w:val="en-US"/>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before="100" w:beforeAutospacing="1" w:after="100" w:afterAutospacing="1" w:line="360" w:lineRule="auto"/>
      <w:outlineLvl w:val="0"/>
    </w:pPr>
    <w:rPr>
      <w:rFonts w:ascii="Times New Roman" w:eastAsia="黑体" w:hAnsi="Times New Roman"/>
      <w:b/>
      <w:bCs/>
      <w:sz w:val="30"/>
      <w:szCs w:val="30"/>
      <w:lang w:val="zh-CN"/>
    </w:rPr>
  </w:style>
  <w:style w:type="paragraph" w:styleId="Heading2">
    <w:name w:val="heading 2"/>
    <w:basedOn w:val="Normal"/>
    <w:next w:val="Normal"/>
    <w:link w:val="Heading2Char"/>
    <w:qFormat/>
    <w:pPr>
      <w:keepNext/>
      <w:keepLines/>
      <w:numPr>
        <w:ilvl w:val="1"/>
        <w:numId w:val="1"/>
      </w:numPr>
      <w:spacing w:before="100" w:beforeAutospacing="1" w:after="100" w:afterAutospacing="1" w:line="240" w:lineRule="atLeast"/>
      <w:outlineLvl w:val="1"/>
    </w:pPr>
    <w:rPr>
      <w:rFonts w:ascii="Times New Roman" w:hAnsi="Times New Roman"/>
      <w:b/>
      <w:bCs/>
      <w:kern w:val="2"/>
      <w:sz w:val="24"/>
      <w:szCs w:val="24"/>
    </w:rPr>
  </w:style>
  <w:style w:type="paragraph" w:styleId="Heading3">
    <w:name w:val="heading 3"/>
    <w:basedOn w:val="Normal"/>
    <w:next w:val="Normal"/>
    <w:link w:val="Heading3Char"/>
    <w:uiPriority w:val="9"/>
    <w:unhideWhenUsed/>
    <w:qFormat/>
    <w:pPr>
      <w:keepNext/>
      <w:keepLines/>
      <w:numPr>
        <w:ilvl w:val="2"/>
        <w:numId w:val="1"/>
      </w:numPr>
      <w:spacing w:before="260" w:after="260" w:line="416" w:lineRule="auto"/>
      <w:outlineLvl w:val="2"/>
    </w:pPr>
    <w:rPr>
      <w:rFonts w:ascii="Times New Roman" w:hAnsi="Times New Roman"/>
      <w:b/>
      <w:bCs/>
      <w:sz w:val="28"/>
      <w:szCs w:val="32"/>
    </w:rPr>
  </w:style>
  <w:style w:type="paragraph" w:styleId="Heading4">
    <w:name w:val="heading 4"/>
    <w:basedOn w:val="Normal"/>
    <w:next w:val="Normal"/>
    <w:link w:val="Heading4Char"/>
    <w:qFormat/>
    <w:pPr>
      <w:keepNext/>
      <w:keepLines/>
      <w:numPr>
        <w:ilvl w:val="3"/>
        <w:numId w:val="1"/>
      </w:numPr>
      <w:overflowPunct w:val="0"/>
      <w:autoSpaceDE w:val="0"/>
      <w:autoSpaceDN w:val="0"/>
      <w:adjustRightInd w:val="0"/>
      <w:textAlignment w:val="baseline"/>
      <w:outlineLvl w:val="3"/>
    </w:pPr>
    <w:rPr>
      <w:rFonts w:ascii="Times New Roman" w:hAnsi="Times New Roman"/>
      <w:b/>
      <w:sz w:val="28"/>
      <w:szCs w:val="28"/>
      <w:lang w:val="en-GB"/>
    </w:rPr>
  </w:style>
  <w:style w:type="paragraph" w:styleId="Heading5">
    <w:name w:val="heading 5"/>
    <w:basedOn w:val="Normal"/>
    <w:next w:val="Normal"/>
    <w:link w:val="Heading5Char"/>
    <w:qFormat/>
    <w:pPr>
      <w:keepNext/>
      <w:keepLines/>
      <w:numPr>
        <w:ilvl w:val="4"/>
        <w:numId w:val="1"/>
      </w:numPr>
      <w:overflowPunct w:val="0"/>
      <w:autoSpaceDE w:val="0"/>
      <w:autoSpaceDN w:val="0"/>
      <w:adjustRightInd w:val="0"/>
      <w:spacing w:beforeLines="50"/>
      <w:textAlignment w:val="baseline"/>
      <w:outlineLvl w:val="4"/>
    </w:pPr>
    <w:rPr>
      <w:rFonts w:ascii="Times New Roman" w:hAnsi="Times New Roman"/>
      <w:b/>
      <w:sz w:val="24"/>
      <w:szCs w:val="24"/>
      <w:lang w:val="en-GB"/>
    </w:rPr>
  </w:style>
  <w:style w:type="paragraph" w:styleId="Heading6">
    <w:name w:val="heading 6"/>
    <w:basedOn w:val="Normal"/>
    <w:next w:val="Normal"/>
    <w:link w:val="Heading6Char"/>
    <w:uiPriority w:val="9"/>
    <w:unhideWhenUsed/>
    <w:qFormat/>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pPr>
      <w:keepNext/>
      <w:keepLines/>
      <w:numPr>
        <w:ilvl w:val="6"/>
        <w:numId w:val="1"/>
      </w:numPr>
      <w:spacing w:before="240" w:after="64" w:line="320" w:lineRule="auto"/>
      <w:outlineLvl w:val="6"/>
    </w:pPr>
    <w:rPr>
      <w:b/>
      <w:bCs/>
      <w:sz w:val="24"/>
      <w:szCs w:val="24"/>
    </w:rPr>
  </w:style>
  <w:style w:type="paragraph" w:styleId="Heading8">
    <w:name w:val="heading 8"/>
    <w:basedOn w:val="Normal"/>
    <w:next w:val="Normal"/>
    <w:link w:val="Heading8Char"/>
    <w:uiPriority w:val="9"/>
    <w:unhideWhenUsed/>
    <w:qFormat/>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uiPriority w:val="9"/>
    <w:unhideWhenUsed/>
    <w:qFormat/>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rPr>
      <w:sz w:val="20"/>
      <w:szCs w:val="20"/>
    </w:rPr>
  </w:style>
  <w:style w:type="paragraph" w:styleId="NormalIndent">
    <w:name w:val="Normal Indent"/>
    <w:basedOn w:val="Normal"/>
    <w:qFormat/>
    <w:pPr>
      <w:widowControl w:val="0"/>
      <w:ind w:firstLine="420"/>
      <w:jc w:val="both"/>
    </w:pPr>
    <w:rPr>
      <w:rFonts w:ascii="Times New Roman" w:hAnsi="Times New Roman"/>
      <w:kern w:val="2"/>
      <w:sz w:val="21"/>
      <w:szCs w:val="20"/>
    </w:rPr>
  </w:style>
  <w:style w:type="paragraph" w:styleId="Caption">
    <w:name w:val="caption"/>
    <w:basedOn w:val="Normal"/>
    <w:next w:val="Normal"/>
    <w:link w:val="CaptionChar"/>
    <w:qFormat/>
    <w:pPr>
      <w:tabs>
        <w:tab w:val="left" w:pos="1418"/>
      </w:tabs>
      <w:spacing w:before="120" w:after="120"/>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BodyText">
    <w:name w:val="Body Text"/>
    <w:basedOn w:val="Normal"/>
    <w:link w:val="BodyTextChar"/>
    <w:qFormat/>
    <w:pPr>
      <w:widowControl w:val="0"/>
      <w:jc w:val="both"/>
    </w:pPr>
    <w:rPr>
      <w:rFonts w:ascii="Times New Roman" w:hAnsi="Times New Roman"/>
      <w:color w:val="0000FF"/>
      <w:kern w:val="2"/>
      <w:sz w:val="21"/>
      <w:szCs w:val="20"/>
    </w:rPr>
  </w:style>
  <w:style w:type="paragraph" w:styleId="BodyTextIndent">
    <w:name w:val="Body Text Indent"/>
    <w:basedOn w:val="Normal"/>
    <w:link w:val="BodyTextIndentChar"/>
    <w:uiPriority w:val="99"/>
    <w:unhideWhenUsed/>
    <w:qFormat/>
    <w:pPr>
      <w:spacing w:after="120"/>
      <w:ind w:left="360"/>
    </w:pPr>
  </w:style>
  <w:style w:type="paragraph" w:styleId="PlainText">
    <w:name w:val="Plain Text"/>
    <w:basedOn w:val="Normal"/>
    <w:link w:val="PlainTextChar"/>
    <w:uiPriority w:val="99"/>
    <w:unhideWhenUsed/>
    <w:qFormat/>
    <w:rPr>
      <w:rFonts w:eastAsia="Calibri"/>
      <w:szCs w:val="21"/>
      <w:lang w:val="en-GB" w:eastAsia="en-US"/>
    </w:r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qFormat/>
    <w:pPr>
      <w:tabs>
        <w:tab w:val="center" w:pos="4536"/>
        <w:tab w:val="right" w:pos="9072"/>
      </w:tabs>
    </w:pPr>
    <w:rPr>
      <w:rFonts w:ascii="Arial" w:eastAsia="MS Mincho" w:hAnsi="Arial"/>
      <w:b/>
      <w:sz w:val="20"/>
      <w:szCs w:val="24"/>
      <w:lang w:eastAsia="en-US"/>
    </w:rPr>
  </w:style>
  <w:style w:type="paragraph" w:styleId="NormalWeb">
    <w:name w:val="Normal (Web)"/>
    <w:basedOn w:val="Normal"/>
    <w:uiPriority w:val="99"/>
    <w:unhideWhenUsed/>
    <w:qFormat/>
    <w:rPr>
      <w:rFonts w:ascii="宋体" w:hAnsi="宋体" w:cs="宋体"/>
      <w:sz w:val="24"/>
      <w:szCs w:val="24"/>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table" w:styleId="TableGrid">
    <w:name w:val="Table Grid"/>
    <w:basedOn w:val="TableNormal"/>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qFormat/>
    <w:rPr>
      <w:rFonts w:ascii="Times New Roman" w:eastAsia="黑体" w:hAnsi="Times New Roman"/>
      <w:b/>
      <w:bCs/>
      <w:sz w:val="30"/>
      <w:szCs w:val="30"/>
      <w:lang w:val="zh-CN" w:eastAsia="zh-CN"/>
    </w:rPr>
  </w:style>
  <w:style w:type="character" w:customStyle="1" w:styleId="HeaderChar">
    <w:name w:val="Header Char"/>
    <w:link w:val="Header"/>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semiHidden/>
    <w:qFormat/>
    <w:rPr>
      <w:b/>
      <w:bCs/>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DocumentMapChar">
    <w:name w:val="Document Map Char"/>
    <w:link w:val="DocumentMap"/>
    <w:uiPriority w:val="99"/>
    <w:semiHidden/>
    <w:qFormat/>
    <w:rPr>
      <w:rFonts w:ascii="宋体"/>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jc w:val="both"/>
    </w:pPr>
    <w:rPr>
      <w:rFonts w:ascii="Arial" w:hAnsi="Arial" w:cs="宋体"/>
      <w:kern w:val="2"/>
      <w:sz w:val="21"/>
      <w:szCs w:val="20"/>
    </w:rPr>
  </w:style>
  <w:style w:type="character" w:customStyle="1" w:styleId="FooterChar">
    <w:name w:val="Footer Char"/>
    <w:link w:val="Footer"/>
    <w:uiPriority w:val="99"/>
    <w:qFormat/>
    <w:rPr>
      <w:sz w:val="18"/>
      <w:szCs w:val="18"/>
    </w:rPr>
  </w:style>
  <w:style w:type="character" w:customStyle="1" w:styleId="Heading2Char">
    <w:name w:val="Heading 2 Char"/>
    <w:link w:val="Heading2"/>
    <w:qFormat/>
    <w:rPr>
      <w:rFonts w:ascii="Times New Roman" w:hAnsi="Times New Roman"/>
      <w:b/>
      <w:bCs/>
      <w:kern w:val="2"/>
      <w:sz w:val="24"/>
      <w:szCs w:val="24"/>
      <w:lang w:val="en-US" w:eastAsia="zh-CN"/>
    </w:rPr>
  </w:style>
  <w:style w:type="character" w:customStyle="1" w:styleId="Heading3Char">
    <w:name w:val="Heading 3 Char"/>
    <w:link w:val="Heading3"/>
    <w:uiPriority w:val="9"/>
    <w:qFormat/>
    <w:rPr>
      <w:rFonts w:ascii="Times New Roman" w:hAnsi="Times New Roman"/>
      <w:b/>
      <w:bCs/>
      <w:sz w:val="28"/>
      <w:szCs w:val="32"/>
      <w:lang w:val="en-US" w:eastAsia="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1">
    <w:name w:val="z-窗体顶端1"/>
    <w:basedOn w:val="Normal"/>
    <w:next w:val="Normal"/>
    <w:link w:val="z-Char"/>
    <w:uiPriority w:val="99"/>
    <w:unhideWhenUsed/>
    <w:qFormat/>
    <w:pPr>
      <w:pBdr>
        <w:bottom w:val="single" w:sz="6" w:space="1" w:color="auto"/>
      </w:pBdr>
      <w:jc w:val="center"/>
    </w:pPr>
    <w:rPr>
      <w:rFonts w:ascii="Arial" w:hAnsi="Arial"/>
      <w:vanish/>
      <w:sz w:val="16"/>
      <w:szCs w:val="16"/>
    </w:rPr>
  </w:style>
  <w:style w:type="character" w:customStyle="1" w:styleId="z-Char">
    <w:name w:val="z-窗体顶端 Char"/>
    <w:link w:val="z-1"/>
    <w:uiPriority w:val="99"/>
    <w:semiHidden/>
    <w:qFormat/>
    <w:rPr>
      <w:rFonts w:ascii="Arial" w:hAnsi="Arial" w:cs="Arial"/>
      <w:vanish/>
      <w:sz w:val="16"/>
      <w:szCs w:val="16"/>
    </w:rPr>
  </w:style>
  <w:style w:type="character" w:customStyle="1" w:styleId="hps">
    <w:name w:val="hps"/>
    <w:basedOn w:val="DefaultParagraphFont"/>
    <w:qFormat/>
  </w:style>
  <w:style w:type="paragraph" w:customStyle="1" w:styleId="z-10">
    <w:name w:val="z-窗体底端1"/>
    <w:basedOn w:val="Normal"/>
    <w:next w:val="Normal"/>
    <w:link w:val="z-Char0"/>
    <w:uiPriority w:val="99"/>
    <w:unhideWhenUsed/>
    <w:qFormat/>
    <w:pPr>
      <w:pBdr>
        <w:top w:val="single" w:sz="6" w:space="1" w:color="auto"/>
      </w:pBdr>
      <w:jc w:val="center"/>
    </w:pPr>
    <w:rPr>
      <w:rFonts w:ascii="Arial" w:hAnsi="Arial"/>
      <w:vanish/>
      <w:sz w:val="16"/>
      <w:szCs w:val="16"/>
    </w:rPr>
  </w:style>
  <w:style w:type="character" w:customStyle="1" w:styleId="z-Char0">
    <w:name w:val="z-窗体底端 Char"/>
    <w:link w:val="z-10"/>
    <w:uiPriority w:val="99"/>
    <w:semiHidden/>
    <w:qFormat/>
    <w:rPr>
      <w:rFonts w:ascii="Arial" w:hAnsi="Arial" w:cs="Arial"/>
      <w:vanish/>
      <w:sz w:val="16"/>
      <w:szCs w:val="16"/>
    </w:rPr>
  </w:style>
  <w:style w:type="character" w:customStyle="1" w:styleId="DateChar">
    <w:name w:val="Date Char"/>
    <w:link w:val="Date"/>
    <w:uiPriority w:val="99"/>
    <w:semiHidden/>
    <w:qFormat/>
    <w:rPr>
      <w:sz w:val="22"/>
      <w:szCs w:val="22"/>
    </w:rPr>
  </w:style>
  <w:style w:type="paragraph" w:customStyle="1" w:styleId="1">
    <w:name w:val="列出段落1"/>
    <w:basedOn w:val="Normal"/>
    <w:link w:val="Char"/>
    <w:uiPriority w:val="34"/>
    <w:qFormat/>
    <w:pPr>
      <w:widowControl w:val="0"/>
      <w:ind w:firstLineChars="200" w:firstLine="420"/>
      <w:jc w:val="both"/>
    </w:pPr>
    <w:rPr>
      <w:rFonts w:ascii="Times New Roman" w:hAnsi="Times New Roman"/>
      <w:kern w:val="2"/>
      <w:sz w:val="21"/>
      <w:szCs w:val="24"/>
    </w:rPr>
  </w:style>
  <w:style w:type="paragraph" w:customStyle="1" w:styleId="10">
    <w:name w:val="修订1"/>
    <w:hidden/>
    <w:uiPriority w:val="99"/>
    <w:semiHidden/>
    <w:qFormat/>
    <w:rPr>
      <w:sz w:val="22"/>
      <w:szCs w:val="22"/>
      <w:lang w:val="en-US"/>
    </w:rPr>
  </w:style>
  <w:style w:type="paragraph" w:customStyle="1" w:styleId="tablecell">
    <w:name w:val="tablecell"/>
    <w:basedOn w:val="Normal"/>
    <w:qFormat/>
    <w:pPr>
      <w:autoSpaceDE w:val="0"/>
      <w:autoSpaceDN w:val="0"/>
      <w:adjustRightInd w:val="0"/>
      <w:snapToGrid w:val="0"/>
      <w:spacing w:before="40" w:after="40"/>
    </w:pPr>
    <w:rPr>
      <w:rFonts w:ascii="Times New Roman" w:hAnsi="Times New Roman"/>
      <w:sz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ascii="Times New Roman" w:hAnsi="Times New Roman" w:cs="Calibri"/>
      <w:b/>
      <w:bCs/>
      <w:color w:val="000000"/>
      <w:sz w:val="20"/>
      <w:lang w:eastAsia="en-US"/>
    </w:rPr>
  </w:style>
  <w:style w:type="character" w:customStyle="1" w:styleId="PlainTextChar">
    <w:name w:val="Plain Text Char"/>
    <w:link w:val="PlainText"/>
    <w:uiPriority w:val="99"/>
    <w:qFormat/>
    <w:rPr>
      <w:rFonts w:eastAsia="Calibri"/>
      <w:sz w:val="22"/>
      <w:szCs w:val="21"/>
      <w:lang w:val="en-GB" w:eastAsia="en-US"/>
    </w:rPr>
  </w:style>
  <w:style w:type="paragraph" w:customStyle="1" w:styleId="TAH">
    <w:name w:val="TAH"/>
    <w:basedOn w:val="TAC"/>
    <w:qFormat/>
    <w:rPr>
      <w:b/>
    </w:rPr>
  </w:style>
  <w:style w:type="paragraph" w:customStyle="1" w:styleId="TAC">
    <w:name w:val="TAC"/>
    <w:basedOn w:val="Normal"/>
    <w:qFormat/>
    <w:pPr>
      <w:keepNext/>
      <w:keepLines/>
      <w:jc w:val="center"/>
    </w:pPr>
    <w:rPr>
      <w:rFonts w:ascii="Arial" w:hAnsi="Arial"/>
      <w:sz w:val="18"/>
      <w:szCs w:val="20"/>
      <w:lang w:val="en-GB" w:eastAsia="en-US"/>
    </w:rPr>
  </w:style>
  <w:style w:type="paragraph" w:customStyle="1" w:styleId="TH">
    <w:name w:val="TH"/>
    <w:basedOn w:val="Normal"/>
    <w:qFormat/>
    <w:pPr>
      <w:keepNext/>
      <w:keepLines/>
      <w:spacing w:before="60" w:after="180"/>
      <w:jc w:val="center"/>
    </w:pPr>
    <w:rPr>
      <w:rFonts w:ascii="Arial" w:hAnsi="Arial"/>
      <w:b/>
      <w:sz w:val="20"/>
      <w:szCs w:val="20"/>
      <w:lang w:val="en-GB" w:eastAsia="en-US"/>
    </w:rPr>
  </w:style>
  <w:style w:type="paragraph" w:customStyle="1" w:styleId="TAN">
    <w:name w:val="TAN"/>
    <w:basedOn w:val="Normal"/>
    <w:qFormat/>
    <w:pPr>
      <w:keepNext/>
      <w:keepLines/>
      <w:ind w:left="851" w:hanging="851"/>
    </w:pPr>
    <w:rPr>
      <w:rFonts w:ascii="Arial" w:hAnsi="Arial"/>
      <w:sz w:val="18"/>
      <w:szCs w:val="20"/>
      <w:lang w:val="en-GB" w:eastAsia="en-US"/>
    </w:rPr>
  </w:style>
  <w:style w:type="character" w:customStyle="1" w:styleId="Heading4Char">
    <w:name w:val="Heading 4 Char"/>
    <w:link w:val="Heading4"/>
    <w:qFormat/>
    <w:rPr>
      <w:rFonts w:ascii="Times New Roman" w:hAnsi="Times New Roman"/>
      <w:b/>
      <w:sz w:val="28"/>
      <w:szCs w:val="28"/>
      <w:lang w:val="en-GB" w:eastAsia="zh-CN"/>
    </w:rPr>
  </w:style>
  <w:style w:type="character" w:customStyle="1" w:styleId="Heading5Char">
    <w:name w:val="Heading 5 Char"/>
    <w:link w:val="Heading5"/>
    <w:qFormat/>
    <w:rPr>
      <w:rFonts w:ascii="Times New Roman" w:hAnsi="Times New Roman"/>
      <w:b/>
      <w:sz w:val="24"/>
      <w:szCs w:val="24"/>
      <w:lang w:val="en-GB" w:eastAsia="zh-CN"/>
    </w:rPr>
  </w:style>
  <w:style w:type="character" w:customStyle="1" w:styleId="apple-converted-space">
    <w:name w:val="apple-converted-space"/>
    <w:basedOn w:val="DefaultParagraphFont"/>
    <w:qFormat/>
  </w:style>
  <w:style w:type="character" w:customStyle="1" w:styleId="Char">
    <w:name w:val="列出段落 Char"/>
    <w:link w:val="1"/>
    <w:uiPriority w:val="34"/>
    <w:qFormat/>
    <w:locked/>
    <w:rPr>
      <w:rFonts w:ascii="Times New Roman" w:hAnsi="Times New Roman"/>
      <w:kern w:val="2"/>
      <w:sz w:val="21"/>
      <w:szCs w:val="24"/>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qFormat/>
    <w:rPr>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0">
    <w:name w:val="样式 ！正文"/>
    <w:basedOn w:val="Normal"/>
    <w:qFormat/>
    <w:pPr>
      <w:widowControl w:val="0"/>
      <w:spacing w:before="40" w:after="40" w:line="300" w:lineRule="auto"/>
      <w:ind w:firstLine="420"/>
      <w:jc w:val="both"/>
    </w:pPr>
    <w:rPr>
      <w:rFonts w:ascii="Times New Roman" w:eastAsia="宋体" w:hAnsi="Times New Roman" w:cs="宋体"/>
      <w:kern w:val="2"/>
      <w:sz w:val="21"/>
      <w:szCs w:val="20"/>
    </w:rPr>
  </w:style>
  <w:style w:type="character" w:customStyle="1" w:styleId="Heading6Char">
    <w:name w:val="Heading 6 Char"/>
    <w:basedOn w:val="DefaultParagraphFont"/>
    <w:link w:val="Heading6"/>
    <w:uiPriority w:val="9"/>
    <w:semiHidden/>
    <w:qFormat/>
    <w:rPr>
      <w:rFonts w:asciiTheme="majorHAnsi" w:eastAsiaTheme="majorEastAsia" w:hAnsiTheme="majorHAnsi" w:cstheme="majorBidi"/>
      <w:b/>
      <w:bCs/>
      <w:sz w:val="24"/>
      <w:szCs w:val="24"/>
      <w:lang w:val="en-US" w:eastAsia="zh-CN"/>
    </w:rPr>
  </w:style>
  <w:style w:type="character" w:customStyle="1" w:styleId="Heading7Char">
    <w:name w:val="Heading 7 Char"/>
    <w:basedOn w:val="DefaultParagraphFont"/>
    <w:link w:val="Heading7"/>
    <w:uiPriority w:val="9"/>
    <w:semiHidden/>
    <w:qFormat/>
    <w:rPr>
      <w:b/>
      <w:bCs/>
      <w:sz w:val="24"/>
      <w:szCs w:val="24"/>
      <w:lang w:val="en-US" w:eastAsia="zh-CN"/>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sz w:val="24"/>
      <w:szCs w:val="24"/>
      <w:lang w:val="en-US" w:eastAsia="zh-CN"/>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sz w:val="21"/>
      <w:szCs w:val="21"/>
      <w:lang w:val="en-US" w:eastAsia="zh-CN"/>
    </w:rPr>
  </w:style>
  <w:style w:type="paragraph" w:customStyle="1" w:styleId="EQ">
    <w:name w:val="EQ"/>
    <w:basedOn w:val="Normal"/>
    <w:next w:val="Normal"/>
    <w:qFormat/>
    <w:pPr>
      <w:keepLines/>
      <w:tabs>
        <w:tab w:val="center" w:pos="4536"/>
        <w:tab w:val="right" w:pos="9072"/>
      </w:tabs>
      <w:overflowPunct w:val="0"/>
      <w:spacing w:after="180"/>
      <w:textAlignment w:val="baseline"/>
    </w:pPr>
    <w:rPr>
      <w:rFonts w:eastAsia="Times New Roman"/>
      <w:sz w:val="20"/>
      <w:lang w:val="en-GB" w:eastAsia="en-GB"/>
    </w:rPr>
  </w:style>
  <w:style w:type="paragraph" w:customStyle="1" w:styleId="Revision1">
    <w:name w:val="Revision1"/>
    <w:hidden/>
    <w:uiPriority w:val="99"/>
    <w:unhideWhenUsed/>
    <w:qFormat/>
    <w:rPr>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oleObject" Target="embeddings/oleObject2.bin"/><Relationship Id="rId12" Type="http://schemas.openxmlformats.org/officeDocument/2006/relationships/oleObject" Target="embeddings/oleObject3.bin"/><Relationship Id="rId13" Type="http://schemas.openxmlformats.org/officeDocument/2006/relationships/oleObject" Target="embeddings/oleObject4.bin"/><Relationship Id="rId14" Type="http://schemas.openxmlformats.org/officeDocument/2006/relationships/oleObject" Target="embeddings/oleObject5.bin"/><Relationship Id="rId15" Type="http://schemas.openxmlformats.org/officeDocument/2006/relationships/oleObject" Target="embeddings/oleObject6.bin"/><Relationship Id="rId16" Type="http://schemas.openxmlformats.org/officeDocument/2006/relationships/image" Target="media/image3.emf"/><Relationship Id="rId17" Type="http://schemas.openxmlformats.org/officeDocument/2006/relationships/oleObject" Target="embeddings/oleObject7.bin"/><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hyperlink" Target="app:ds:%20%20distortion" TargetMode="External"/><Relationship Id="rId8" Type="http://schemas.openxmlformats.org/officeDocument/2006/relationships/image" Target="media/image1.wmf"/><Relationship Id="rId9" Type="http://schemas.openxmlformats.org/officeDocument/2006/relationships/oleObject" Target="embeddings/oleObject1.bin"/><Relationship Id="rId10"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F7F51D-A7F2-6442-A8DF-21CC96A74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1839</Words>
  <Characters>10486</Characters>
  <Application>Microsoft Macintosh Word</Application>
  <DocSecurity>0</DocSecurity>
  <Lines>87</Lines>
  <Paragraphs>24</Paragraphs>
  <ScaleCrop>false</ScaleCrop>
  <Company>ZTE</Company>
  <LinksUpToDate>false</LinksUpToDate>
  <CharactersWithSpaces>12301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R1-1701816</dc:title>
  <dc:creator>ZTE</dc:creator>
  <cp:lastModifiedBy>ynli</cp:lastModifiedBy>
  <cp:revision>2</cp:revision>
  <dcterms:created xsi:type="dcterms:W3CDTF">2017-08-12T08:12:00Z</dcterms:created>
  <dcterms:modified xsi:type="dcterms:W3CDTF">2017-08-12T08:12:00Z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